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DA56" w14:textId="6C521820" w:rsidR="00F62211" w:rsidRPr="00F62211" w:rsidRDefault="00F62211" w:rsidP="00F62211">
      <w:pPr>
        <w:jc w:val="center"/>
        <w:rPr>
          <w:b/>
          <w:bCs/>
        </w:rPr>
      </w:pPr>
      <w:r w:rsidRPr="00F62211">
        <w:rPr>
          <w:b/>
          <w:bCs/>
        </w:rPr>
        <w:t>San José State University Department of Anthropology</w:t>
      </w:r>
    </w:p>
    <w:p w14:paraId="2474815B" w14:textId="283C77E4" w:rsidR="00F62211" w:rsidRPr="004F3AF0" w:rsidRDefault="00F62211" w:rsidP="004F3AF0">
      <w:pPr>
        <w:jc w:val="center"/>
        <w:rPr>
          <w:b/>
          <w:bCs/>
        </w:rPr>
      </w:pPr>
      <w:r w:rsidRPr="004F3AF0">
        <w:rPr>
          <w:b/>
          <w:bCs/>
        </w:rPr>
        <w:t>MA Thesis and Project</w:t>
      </w:r>
      <w:r w:rsidR="007C5C3D">
        <w:rPr>
          <w:b/>
          <w:bCs/>
        </w:rPr>
        <w:t xml:space="preserve"> Report</w:t>
      </w:r>
      <w:r w:rsidRPr="004F3AF0">
        <w:rPr>
          <w:b/>
          <w:bCs/>
        </w:rPr>
        <w:t xml:space="preserve"> Style Guide</w:t>
      </w:r>
    </w:p>
    <w:p w14:paraId="6A4AD110" w14:textId="29D4127A" w:rsidR="00C31CAF" w:rsidRDefault="00E6169F" w:rsidP="004F3AF0">
      <w:r w:rsidRPr="004F3AF0">
        <w:t xml:space="preserve">All thesis and project reports submitted as culminating products to qualify for the MA degree in Applied Anthropology must follow the following </w:t>
      </w:r>
      <w:r w:rsidR="00F62211" w:rsidRPr="004F3AF0">
        <w:t>style guidelines. In all matters not specified herein, students should refer to the latest edition of the Chicago Manual of Style</w:t>
      </w:r>
      <w:r w:rsidR="000B47C7">
        <w:t xml:space="preserve"> Author-Date guidelines</w:t>
      </w:r>
      <w:r w:rsidR="00F62211" w:rsidRPr="004F3AF0">
        <w:t xml:space="preserve"> (available online via the SJSU Library). </w:t>
      </w:r>
    </w:p>
    <w:p w14:paraId="54B88175" w14:textId="634F77F7" w:rsidR="00C31CAF" w:rsidRPr="00C31CAF" w:rsidRDefault="00C31CAF" w:rsidP="004F3AF0">
      <w:pPr>
        <w:rPr>
          <w:b/>
          <w:bCs/>
        </w:rPr>
      </w:pPr>
      <w:r>
        <w:rPr>
          <w:b/>
          <w:bCs/>
        </w:rPr>
        <w:t>Front Pages</w:t>
      </w:r>
    </w:p>
    <w:p w14:paraId="690ECE53" w14:textId="55EE8821" w:rsidR="00150065" w:rsidRPr="004F3AF0" w:rsidRDefault="00150065" w:rsidP="004F3AF0">
      <w:pPr>
        <w:shd w:val="clear" w:color="auto" w:fill="FFFFFF"/>
      </w:pPr>
      <w:r w:rsidRPr="004F3AF0">
        <w:t>Thesis</w:t>
      </w:r>
      <w:r w:rsidR="00A368E5" w:rsidRPr="004F3AF0">
        <w:t xml:space="preserve"> front pages must follow the requirements set out in the</w:t>
      </w:r>
      <w:r w:rsidR="004F3AF0" w:rsidRPr="004F3AF0">
        <w:t xml:space="preserve"> College of Graduate Studies’</w:t>
      </w:r>
      <w:r w:rsidR="00A368E5" w:rsidRPr="004F3AF0">
        <w:t xml:space="preserve"> </w:t>
      </w:r>
      <w:hyperlink r:id="rId6" w:history="1">
        <w:r w:rsidR="00A368E5" w:rsidRPr="004F3AF0">
          <w:rPr>
            <w:rStyle w:val="Hyperlink"/>
            <w:color w:val="auto"/>
          </w:rPr>
          <w:t>14 Rules of Formatting</w:t>
        </w:r>
      </w:hyperlink>
      <w:r w:rsidR="00A368E5" w:rsidRPr="004F3AF0">
        <w:t xml:space="preserve">, and available for review </w:t>
      </w:r>
      <w:r w:rsidR="00D10D3A" w:rsidRPr="004F3AF0">
        <w:t>in the Thesis and Dissertation Guide</w:t>
      </w:r>
      <w:r w:rsidR="00A368E5" w:rsidRPr="004F3AF0">
        <w:t>.</w:t>
      </w:r>
    </w:p>
    <w:p w14:paraId="51E87837" w14:textId="77777777" w:rsidR="00C31CAF" w:rsidRDefault="00C31CAF" w:rsidP="004F3AF0">
      <w:pPr>
        <w:shd w:val="clear" w:color="auto" w:fill="FFFFFF"/>
      </w:pPr>
    </w:p>
    <w:p w14:paraId="5F579BFE" w14:textId="3E90B7EC" w:rsidR="00C31CAF" w:rsidRPr="00C31CAF" w:rsidRDefault="00C31CAF" w:rsidP="004F3AF0">
      <w:pPr>
        <w:shd w:val="clear" w:color="auto" w:fill="FFFFFF"/>
        <w:rPr>
          <w:b/>
          <w:bCs/>
        </w:rPr>
      </w:pPr>
      <w:r>
        <w:rPr>
          <w:b/>
          <w:bCs/>
        </w:rPr>
        <w:t>General</w:t>
      </w:r>
    </w:p>
    <w:p w14:paraId="359BDCF8" w14:textId="37D392E0" w:rsidR="00D10D3A" w:rsidRPr="00C31CAF" w:rsidRDefault="00D10D3A" w:rsidP="00C31CAF">
      <w:p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 xml:space="preserve">Text should be double-spaced, </w:t>
      </w:r>
      <w:r w:rsidR="00CE4C02" w:rsidRPr="00C31CAF">
        <w:rPr>
          <w:rFonts w:eastAsia="Times New Roman"/>
        </w:rPr>
        <w:t>except for</w:t>
      </w:r>
      <w:r w:rsidRPr="00C31CAF">
        <w:rPr>
          <w:rFonts w:eastAsia="Times New Roman"/>
        </w:rPr>
        <w:t>:</w:t>
      </w:r>
    </w:p>
    <w:p w14:paraId="3778DCC1" w14:textId="33B3D8E3" w:rsidR="00D10D3A" w:rsidRPr="00C31CAF" w:rsidRDefault="00D10D3A" w:rsidP="00C31CAF">
      <w:pPr>
        <w:numPr>
          <w:ilvl w:val="1"/>
          <w:numId w:val="6"/>
        </w:num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>Block quot</w:t>
      </w:r>
      <w:r w:rsidR="00150065" w:rsidRPr="00C31CAF">
        <w:rPr>
          <w:rFonts w:eastAsia="Times New Roman"/>
        </w:rPr>
        <w:t>ations (see “Direct Quotations” below)</w:t>
      </w:r>
    </w:p>
    <w:p w14:paraId="32B9969B" w14:textId="77777777" w:rsidR="00D10D3A" w:rsidRPr="00C31CAF" w:rsidRDefault="00D10D3A" w:rsidP="00C31CAF">
      <w:pPr>
        <w:numPr>
          <w:ilvl w:val="1"/>
          <w:numId w:val="6"/>
        </w:num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>Table Titles</w:t>
      </w:r>
    </w:p>
    <w:p w14:paraId="14D37E85" w14:textId="77777777" w:rsidR="00D10D3A" w:rsidRPr="00C31CAF" w:rsidRDefault="00D10D3A" w:rsidP="00C31CAF">
      <w:pPr>
        <w:numPr>
          <w:ilvl w:val="1"/>
          <w:numId w:val="6"/>
        </w:num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>Figure Captions</w:t>
      </w:r>
    </w:p>
    <w:p w14:paraId="10A96F5D" w14:textId="5FD365F7" w:rsidR="00D10D3A" w:rsidRPr="00C31CAF" w:rsidRDefault="00D10D3A" w:rsidP="00C31CAF">
      <w:p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 xml:space="preserve">Use a </w:t>
      </w:r>
      <w:r w:rsidR="007936D9">
        <w:rPr>
          <w:rFonts w:eastAsia="Times New Roman"/>
        </w:rPr>
        <w:t xml:space="preserve">.25 </w:t>
      </w:r>
      <w:r w:rsidRPr="00C31CAF">
        <w:rPr>
          <w:rFonts w:eastAsia="Times New Roman"/>
        </w:rPr>
        <w:t>indent for paragraph beginnings</w:t>
      </w:r>
      <w:r w:rsidR="007936D9">
        <w:rPr>
          <w:rFonts w:eastAsia="Times New Roman"/>
        </w:rPr>
        <w:t xml:space="preserve"> and</w:t>
      </w:r>
      <w:r w:rsidRPr="00C31CAF">
        <w:rPr>
          <w:rFonts w:eastAsia="Times New Roman"/>
        </w:rPr>
        <w:t xml:space="preserve"> bibliographic indents.</w:t>
      </w:r>
      <w:r w:rsidR="007936D9">
        <w:rPr>
          <w:rFonts w:eastAsia="Times New Roman"/>
        </w:rPr>
        <w:t xml:space="preserve"> Use a .50 indent for block quotations.</w:t>
      </w:r>
    </w:p>
    <w:p w14:paraId="65B4B137" w14:textId="1DC6C292" w:rsidR="00D10D3A" w:rsidRPr="00C31CAF" w:rsidRDefault="00D10D3A" w:rsidP="0017367E">
      <w:p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 xml:space="preserve">Page numbers should be placed in the header of the first page of text, beginning with number 1. Continue page numbers </w:t>
      </w:r>
      <w:r w:rsidR="0017367E">
        <w:rPr>
          <w:rFonts w:eastAsia="Times New Roman"/>
        </w:rPr>
        <w:t>until</w:t>
      </w:r>
      <w:r w:rsidRPr="00C31CAF">
        <w:rPr>
          <w:rFonts w:eastAsia="Times New Roman"/>
        </w:rPr>
        <w:t xml:space="preserve"> the end of </w:t>
      </w:r>
      <w:r w:rsidR="0017367E">
        <w:rPr>
          <w:rFonts w:eastAsia="Times New Roman"/>
        </w:rPr>
        <w:t>the</w:t>
      </w:r>
      <w:r w:rsidRPr="00C31CAF">
        <w:rPr>
          <w:rFonts w:eastAsia="Times New Roman"/>
        </w:rPr>
        <w:t xml:space="preserve"> bibliography.</w:t>
      </w:r>
    </w:p>
    <w:p w14:paraId="3AD72E63" w14:textId="77777777" w:rsidR="00C31CAF" w:rsidRPr="00C31CAF" w:rsidRDefault="00C31CAF" w:rsidP="0017367E">
      <w:pPr>
        <w:shd w:val="clear" w:color="auto" w:fill="FFFFFF"/>
      </w:pPr>
      <w:r w:rsidRPr="00C31CAF">
        <w:t>SJSU does not allow endnotes. Ancillary notes should be formatted as footnotes.</w:t>
      </w:r>
    </w:p>
    <w:p w14:paraId="72DB16D7" w14:textId="1AEA0B64" w:rsidR="00D10D3A" w:rsidRPr="0017367E" w:rsidRDefault="00D10D3A"/>
    <w:p w14:paraId="04B93070" w14:textId="34539AB0" w:rsidR="00A368E5" w:rsidRPr="000239DA" w:rsidRDefault="00150065">
      <w:pPr>
        <w:rPr>
          <w:b/>
          <w:bCs/>
        </w:rPr>
      </w:pPr>
      <w:r w:rsidRPr="000239DA">
        <w:rPr>
          <w:b/>
          <w:bCs/>
        </w:rPr>
        <w:t>Headings</w:t>
      </w:r>
    </w:p>
    <w:p w14:paraId="4D4F259C" w14:textId="08967AF2" w:rsidR="00150065" w:rsidRPr="0017367E" w:rsidRDefault="00150065">
      <w:r w:rsidRPr="0017367E">
        <w:t>Do not number headings and subheadings in the Table of Contents or in the text body.</w:t>
      </w:r>
    </w:p>
    <w:p w14:paraId="545EB72A" w14:textId="0717BB9B" w:rsidR="008B2FE0" w:rsidRDefault="000239DA">
      <w:r>
        <w:t>Headings have t</w:t>
      </w:r>
      <w:r w:rsidR="008B2FE0">
        <w:t xml:space="preserve">hree </w:t>
      </w:r>
      <w:r>
        <w:t>l</w:t>
      </w:r>
      <w:r w:rsidR="008B2FE0">
        <w:t>evels</w:t>
      </w:r>
      <w:r>
        <w:t xml:space="preserve"> and are all double spaced</w:t>
      </w:r>
    </w:p>
    <w:p w14:paraId="4B7C259E" w14:textId="4D61C9CE" w:rsidR="008B2FE0" w:rsidRDefault="000239DA" w:rsidP="008B2FE0">
      <w:pPr>
        <w:ind w:left="720"/>
      </w:pPr>
      <w:r w:rsidRPr="000239DA">
        <w:rPr>
          <w:b/>
          <w:bCs/>
        </w:rPr>
        <w:t>1</w:t>
      </w:r>
      <w:r>
        <w:t xml:space="preserve"> </w:t>
      </w:r>
      <w:r w:rsidR="008B2FE0">
        <w:t xml:space="preserve">Chapter: Bold, </w:t>
      </w:r>
      <w:r w:rsidR="008A166A">
        <w:t>a</w:t>
      </w:r>
      <w:r w:rsidR="008B2FE0">
        <w:t xml:space="preserve">ll </w:t>
      </w:r>
      <w:r w:rsidR="008A166A">
        <w:t>c</w:t>
      </w:r>
      <w:r w:rsidR="008B2FE0">
        <w:t xml:space="preserve">aps, </w:t>
      </w:r>
      <w:r w:rsidR="008A166A">
        <w:t>and c</w:t>
      </w:r>
      <w:r w:rsidR="008B2FE0">
        <w:t>entered with chapter number</w:t>
      </w:r>
      <w:r w:rsidR="008A166A">
        <w:t xml:space="preserve"> spelled out</w:t>
      </w:r>
      <w:r w:rsidR="008B2FE0">
        <w:t xml:space="preserve"> on first line and chapter title on second</w:t>
      </w:r>
    </w:p>
    <w:p w14:paraId="4D47F759" w14:textId="57628A3A" w:rsidR="008B2FE0" w:rsidRDefault="008B2FE0" w:rsidP="00F62211">
      <w:pPr>
        <w:spacing w:after="0" w:line="480" w:lineRule="auto"/>
        <w:ind w:left="720"/>
        <w:jc w:val="center"/>
        <w:rPr>
          <w:b/>
          <w:bCs/>
        </w:rPr>
      </w:pPr>
      <w:r>
        <w:rPr>
          <w:b/>
          <w:bCs/>
        </w:rPr>
        <w:t xml:space="preserve">CHAPTER </w:t>
      </w:r>
      <w:r w:rsidR="007936D9">
        <w:rPr>
          <w:b/>
          <w:bCs/>
        </w:rPr>
        <w:t>ONE</w:t>
      </w:r>
    </w:p>
    <w:p w14:paraId="2BC02393" w14:textId="3978FE8B" w:rsidR="008B2FE0" w:rsidRPr="008B2FE0" w:rsidRDefault="007936D9" w:rsidP="00F62211">
      <w:pPr>
        <w:spacing w:after="0" w:line="480" w:lineRule="auto"/>
        <w:ind w:left="720"/>
        <w:jc w:val="center"/>
        <w:rPr>
          <w:b/>
          <w:bCs/>
        </w:rPr>
      </w:pPr>
      <w:r>
        <w:rPr>
          <w:b/>
          <w:bCs/>
        </w:rPr>
        <w:t>PAPA WAS A RODEO</w:t>
      </w:r>
      <w:r w:rsidR="000B47C7">
        <w:rPr>
          <w:b/>
          <w:bCs/>
        </w:rPr>
        <w:t>, MAMA WAS A ROCK ‘N ROLL BAND</w:t>
      </w:r>
    </w:p>
    <w:p w14:paraId="02AB2791" w14:textId="60B44ED2" w:rsidR="008B2FE0" w:rsidRDefault="000239DA" w:rsidP="008B2FE0">
      <w:pPr>
        <w:ind w:left="720"/>
      </w:pPr>
      <w:r w:rsidRPr="000239DA">
        <w:rPr>
          <w:b/>
          <w:bCs/>
        </w:rPr>
        <w:t>2</w:t>
      </w:r>
      <w:r>
        <w:t xml:space="preserve"> </w:t>
      </w:r>
      <w:r w:rsidR="008B2FE0">
        <w:t xml:space="preserve">Section: Bold, </w:t>
      </w:r>
      <w:r>
        <w:t>title</w:t>
      </w:r>
      <w:r w:rsidR="008B2FE0">
        <w:t xml:space="preserve"> case</w:t>
      </w:r>
      <w:r>
        <w:t xml:space="preserve"> (capitalize first and all major words, lower case minor words –e.g., “A Colonial Encounter: Europe and the Native Caribbean”)</w:t>
      </w:r>
      <w:r w:rsidR="008B2FE0">
        <w:t>, left justified</w:t>
      </w:r>
    </w:p>
    <w:p w14:paraId="30CF6C97" w14:textId="77777777" w:rsidR="000239DA" w:rsidRDefault="008B2FE0" w:rsidP="000239DA">
      <w:pPr>
        <w:spacing w:after="0" w:line="480" w:lineRule="auto"/>
        <w:ind w:left="720"/>
        <w:rPr>
          <w:b/>
          <w:bCs/>
        </w:rPr>
      </w:pPr>
      <w:r>
        <w:rPr>
          <w:b/>
          <w:bCs/>
        </w:rPr>
        <w:t>Methodology</w:t>
      </w:r>
      <w:r w:rsidR="00D10D3A">
        <w:rPr>
          <w:b/>
          <w:bCs/>
        </w:rPr>
        <w:t xml:space="preserve"> </w:t>
      </w:r>
    </w:p>
    <w:p w14:paraId="6D7DAB73" w14:textId="1A8AEBA3" w:rsidR="008B2FE0" w:rsidRDefault="000239DA" w:rsidP="000239DA">
      <w:pPr>
        <w:spacing w:after="0" w:line="480" w:lineRule="auto"/>
        <w:ind w:left="720"/>
      </w:pPr>
      <w:r w:rsidRPr="000239DA">
        <w:rPr>
          <w:b/>
          <w:bCs/>
        </w:rPr>
        <w:t>3</w:t>
      </w:r>
      <w:r>
        <w:t xml:space="preserve"> </w:t>
      </w:r>
      <w:r w:rsidR="008B2FE0">
        <w:t xml:space="preserve">Subsection: Italicized, </w:t>
      </w:r>
      <w:r>
        <w:t>title</w:t>
      </w:r>
      <w:r w:rsidR="008B2FE0">
        <w:t xml:space="preserve"> case, left justified</w:t>
      </w:r>
    </w:p>
    <w:p w14:paraId="0D23B4DF" w14:textId="0040C1C2" w:rsidR="000239DA" w:rsidRDefault="008B2FE0" w:rsidP="000239DA">
      <w:pPr>
        <w:spacing w:after="0" w:line="480" w:lineRule="auto"/>
        <w:ind w:left="720"/>
        <w:rPr>
          <w:i/>
          <w:iCs/>
        </w:rPr>
      </w:pPr>
      <w:r>
        <w:rPr>
          <w:i/>
          <w:iCs/>
        </w:rPr>
        <w:t>Sampling and Recruitment</w:t>
      </w:r>
    </w:p>
    <w:p w14:paraId="2F2480AD" w14:textId="58DCCDE8" w:rsidR="001A785B" w:rsidRPr="001A785B" w:rsidRDefault="000B47C7" w:rsidP="00EF6269">
      <w:pPr>
        <w:spacing w:after="0"/>
        <w:rPr>
          <w:rFonts w:ascii="Times New Roman Bold" w:hAnsi="Times New Roman Bold"/>
          <w:b/>
          <w:bCs/>
        </w:rPr>
      </w:pPr>
      <w:r>
        <w:rPr>
          <w:rFonts w:ascii="Times New Roman Bold" w:hAnsi="Times New Roman Bold"/>
          <w:b/>
          <w:bCs/>
        </w:rPr>
        <w:lastRenderedPageBreak/>
        <w:t xml:space="preserve">Headings in </w:t>
      </w:r>
      <w:r w:rsidR="001A785B" w:rsidRPr="001A785B">
        <w:rPr>
          <w:rFonts w:ascii="Times New Roman Bold" w:hAnsi="Times New Roman Bold"/>
          <w:b/>
          <w:bCs/>
        </w:rPr>
        <w:t>Table of Contents</w:t>
      </w:r>
    </w:p>
    <w:p w14:paraId="3F951226" w14:textId="4117150C" w:rsidR="00D3427B" w:rsidRPr="00D3427B" w:rsidRDefault="00D3427B" w:rsidP="00D3427B">
      <w:r>
        <w:t>In the table of contents, toggle chapter titles to be title case instead of all caps</w:t>
      </w:r>
      <w:r w:rsidR="008A166A">
        <w:t xml:space="preserve"> and place chapter number and title on one line</w:t>
      </w:r>
      <w:r>
        <w:t xml:space="preserve">. Remove bold </w:t>
      </w:r>
      <w:r w:rsidR="008A166A">
        <w:t xml:space="preserve">and italics </w:t>
      </w:r>
      <w:r>
        <w:t>from section headings</w:t>
      </w:r>
      <w:r w:rsidR="008A166A">
        <w:t xml:space="preserve"> and subheadings</w:t>
      </w:r>
      <w:r>
        <w:t>, indent subsection</w:t>
      </w:r>
      <w:r w:rsidR="008A166A">
        <w:t xml:space="preserve"> headings at .25</w:t>
      </w:r>
      <w:r>
        <w:t>.</w:t>
      </w:r>
    </w:p>
    <w:p w14:paraId="4A4D6BE1" w14:textId="2A0F181E" w:rsidR="0017367E" w:rsidRPr="00EF6269" w:rsidRDefault="00D3427B" w:rsidP="00EF6269">
      <w:pPr>
        <w:spacing w:after="0"/>
        <w:rPr>
          <w:caps/>
        </w:rPr>
      </w:pPr>
      <w:r w:rsidRPr="00EF6269">
        <w:t>Chapter One</w:t>
      </w:r>
      <w:r>
        <w:t xml:space="preserve">: </w:t>
      </w:r>
      <w:r w:rsidRPr="00EF6269">
        <w:t xml:space="preserve">Papa Was </w:t>
      </w:r>
      <w:r>
        <w:t>a</w:t>
      </w:r>
      <w:r w:rsidRPr="00EF6269">
        <w:t xml:space="preserve"> Rodeo</w:t>
      </w:r>
      <w:r>
        <w:t>, Mama Was a Rock ‘N Roll Band</w:t>
      </w:r>
    </w:p>
    <w:p w14:paraId="17308064" w14:textId="0A6B67A5" w:rsidR="0017367E" w:rsidRPr="00D3427B" w:rsidRDefault="000B47C7" w:rsidP="00EF6269">
      <w:pPr>
        <w:spacing w:after="0"/>
      </w:pPr>
      <w:r>
        <w:t>Problem Statement</w:t>
      </w:r>
    </w:p>
    <w:p w14:paraId="3ABA3426" w14:textId="47404A61" w:rsidR="0017367E" w:rsidRPr="00D3427B" w:rsidRDefault="0017367E" w:rsidP="00EF6269">
      <w:pPr>
        <w:spacing w:after="0"/>
      </w:pPr>
      <w:r w:rsidRPr="00D3427B">
        <w:t>Literature Review</w:t>
      </w:r>
    </w:p>
    <w:p w14:paraId="38CA4D3F" w14:textId="77777777" w:rsidR="008A166A" w:rsidRDefault="0017367E" w:rsidP="008A166A">
      <w:pPr>
        <w:spacing w:after="0"/>
        <w:ind w:firstLine="450"/>
      </w:pPr>
      <w:r w:rsidRPr="008A166A">
        <w:t>Playing Guitar</w:t>
      </w:r>
    </w:p>
    <w:p w14:paraId="13F52947" w14:textId="362EB45E" w:rsidR="0017367E" w:rsidRPr="008A166A" w:rsidRDefault="0017367E" w:rsidP="008A166A">
      <w:pPr>
        <w:spacing w:after="0"/>
        <w:ind w:firstLine="450"/>
      </w:pPr>
      <w:r w:rsidRPr="008A166A">
        <w:t>Roping a Steer</w:t>
      </w:r>
    </w:p>
    <w:p w14:paraId="3F3D4662" w14:textId="77777777" w:rsidR="0017367E" w:rsidRPr="00EF6269" w:rsidRDefault="0017367E" w:rsidP="00EF6269">
      <w:pPr>
        <w:spacing w:after="0"/>
      </w:pPr>
    </w:p>
    <w:p w14:paraId="2A04A74A" w14:textId="0385FE84" w:rsidR="0017367E" w:rsidRDefault="00D3427B" w:rsidP="00EF6269">
      <w:pPr>
        <w:spacing w:after="0"/>
      </w:pPr>
      <w:r w:rsidRPr="00EF6269">
        <w:t>Chapter Two</w:t>
      </w:r>
      <w:r>
        <w:t xml:space="preserve">: </w:t>
      </w:r>
      <w:r w:rsidRPr="00EF6269">
        <w:t>All Mimsey Were the Borogoves</w:t>
      </w:r>
    </w:p>
    <w:p w14:paraId="656B17E2" w14:textId="4673B54A" w:rsidR="001A785B" w:rsidRDefault="001A785B" w:rsidP="00EF6269">
      <w:pPr>
        <w:spacing w:after="0"/>
      </w:pPr>
      <w:r>
        <w:t xml:space="preserve">The Mome </w:t>
      </w:r>
      <w:r w:rsidR="007C1ACC">
        <w:t>Raths Outgrabe</w:t>
      </w:r>
    </w:p>
    <w:p w14:paraId="5FFEB47E" w14:textId="6EE9E875" w:rsidR="007C1ACC" w:rsidRPr="008A166A" w:rsidRDefault="007C1ACC" w:rsidP="008A166A">
      <w:pPr>
        <w:spacing w:after="0"/>
        <w:ind w:left="450"/>
      </w:pPr>
      <w:r w:rsidRPr="008A166A">
        <w:t>Beware the Jabberwock, My Son</w:t>
      </w:r>
    </w:p>
    <w:p w14:paraId="765AE948" w14:textId="2E1A8711" w:rsidR="007C1ACC" w:rsidRPr="008A166A" w:rsidRDefault="007C1ACC" w:rsidP="008A166A">
      <w:pPr>
        <w:spacing w:after="0"/>
        <w:ind w:left="450"/>
      </w:pPr>
      <w:r w:rsidRPr="008A166A">
        <w:t>The Jaws that Bite, the Claws that Catch</w:t>
      </w:r>
    </w:p>
    <w:p w14:paraId="0F929C53" w14:textId="77777777" w:rsidR="0017367E" w:rsidRPr="00EF6269" w:rsidRDefault="0017367E" w:rsidP="00EF6269">
      <w:pPr>
        <w:spacing w:after="0"/>
      </w:pPr>
    </w:p>
    <w:p w14:paraId="43D43383" w14:textId="754A04F8" w:rsidR="008B2FE0" w:rsidRPr="00E6169F" w:rsidRDefault="007C01E1">
      <w:pPr>
        <w:rPr>
          <w:b/>
          <w:bCs/>
        </w:rPr>
      </w:pPr>
      <w:r w:rsidRPr="00E6169F">
        <w:rPr>
          <w:b/>
          <w:bCs/>
        </w:rPr>
        <w:t>Direct Quot</w:t>
      </w:r>
      <w:r w:rsidR="008B2FE0" w:rsidRPr="00E6169F">
        <w:rPr>
          <w:b/>
          <w:bCs/>
        </w:rPr>
        <w:t>ations</w:t>
      </w:r>
    </w:p>
    <w:p w14:paraId="4D0B4595" w14:textId="77777777" w:rsidR="004B1DBC" w:rsidRDefault="007C01E1" w:rsidP="004B1DBC">
      <w:pPr>
        <w:pStyle w:val="ListParagraph"/>
        <w:numPr>
          <w:ilvl w:val="0"/>
          <w:numId w:val="1"/>
        </w:numPr>
      </w:pPr>
      <w:r w:rsidRPr="007C01E1">
        <w:t xml:space="preserve">Incorporate text less than 100 words into </w:t>
      </w:r>
      <w:r w:rsidR="008B2FE0">
        <w:t>paragraph text</w:t>
      </w:r>
      <w:r w:rsidRPr="007C01E1">
        <w:t>.</w:t>
      </w:r>
    </w:p>
    <w:p w14:paraId="404FCF73" w14:textId="77777777" w:rsidR="004B1DBC" w:rsidRDefault="004B1DBC" w:rsidP="004B1DBC">
      <w:pPr>
        <w:pStyle w:val="ListParagraph"/>
        <w:numPr>
          <w:ilvl w:val="0"/>
          <w:numId w:val="1"/>
        </w:numPr>
      </w:pPr>
      <w:r>
        <w:t>Enclose all quotations</w:t>
      </w:r>
      <w:r w:rsidR="007C01E1" w:rsidRPr="007C01E1">
        <w:t xml:space="preserve"> in quotation marks.</w:t>
      </w:r>
    </w:p>
    <w:p w14:paraId="5C1FE8B7" w14:textId="56C6743A" w:rsidR="004B1DBC" w:rsidRDefault="004B1DBC" w:rsidP="004B1DBC">
      <w:pPr>
        <w:pStyle w:val="ListParagraph"/>
        <w:numPr>
          <w:ilvl w:val="0"/>
          <w:numId w:val="1"/>
        </w:numPr>
      </w:pPr>
      <w:r>
        <w:t>For quotations of published material, i</w:t>
      </w:r>
      <w:r w:rsidR="007C01E1" w:rsidRPr="007C01E1">
        <w:t>nclude page reference in parenthes</w:t>
      </w:r>
      <w:r>
        <w:t>e</w:t>
      </w:r>
      <w:r w:rsidR="007C01E1" w:rsidRPr="007C01E1">
        <w:t>s after quotation mark.</w:t>
      </w:r>
      <w:r w:rsidR="00150065">
        <w:t xml:space="preserve"> There is no need to cite quotations from study participants.</w:t>
      </w:r>
    </w:p>
    <w:p w14:paraId="09576EAE" w14:textId="30C4D758" w:rsidR="007C01E1" w:rsidRDefault="007C01E1" w:rsidP="004B1DBC">
      <w:pPr>
        <w:pStyle w:val="ListParagraph"/>
        <w:numPr>
          <w:ilvl w:val="0"/>
          <w:numId w:val="1"/>
        </w:numPr>
      </w:pPr>
      <w:r w:rsidRPr="007C01E1">
        <w:t xml:space="preserve">If quotation </w:t>
      </w:r>
      <w:r w:rsidR="00150065">
        <w:t xml:space="preserve">from published material </w:t>
      </w:r>
      <w:r w:rsidRPr="007C01E1">
        <w:t>ends the sentence</w:t>
      </w:r>
      <w:r w:rsidR="004B1DBC">
        <w:t>,</w:t>
      </w:r>
      <w:r w:rsidRPr="007C01E1">
        <w:t xml:space="preserve"> place </w:t>
      </w:r>
      <w:r w:rsidR="00150065">
        <w:t xml:space="preserve">the </w:t>
      </w:r>
      <w:r w:rsidRPr="007C01E1">
        <w:t xml:space="preserve">parenthetical reference </w:t>
      </w:r>
      <w:r w:rsidR="004B1DBC">
        <w:t xml:space="preserve">outside quotation marks </w:t>
      </w:r>
      <w:r w:rsidRPr="007C01E1">
        <w:t>at end including page reference.</w:t>
      </w:r>
    </w:p>
    <w:p w14:paraId="2FDBA396" w14:textId="1621CC9F" w:rsidR="008B2FE0" w:rsidRDefault="008B2FE0" w:rsidP="004B1DBC">
      <w:pPr>
        <w:pStyle w:val="ListParagraph"/>
        <w:numPr>
          <w:ilvl w:val="0"/>
          <w:numId w:val="1"/>
        </w:numPr>
      </w:pPr>
      <w:r>
        <w:t>Quotations of four or more lines are single spaced as an indented, block quotation</w:t>
      </w:r>
    </w:p>
    <w:p w14:paraId="29B3A184" w14:textId="77777777" w:rsidR="00E6169F" w:rsidRDefault="00E6169F" w:rsidP="00E6169F">
      <w:pPr>
        <w:pStyle w:val="ListParagraph"/>
      </w:pPr>
    </w:p>
    <w:p w14:paraId="4C0223D8" w14:textId="4A52C3ED" w:rsidR="007C01E1" w:rsidRDefault="008B2FE0">
      <w:r>
        <w:rPr>
          <w:b/>
          <w:bCs/>
        </w:rPr>
        <w:t>Figures and Tables</w:t>
      </w:r>
    </w:p>
    <w:p w14:paraId="3C946A0F" w14:textId="0C859D33" w:rsidR="004B1DBC" w:rsidRDefault="004B1DBC">
      <w:r>
        <w:t>Text within figures and tables should be no smaller than 10-point font</w:t>
      </w:r>
      <w:r w:rsidR="004C0F17">
        <w:t>*</w:t>
      </w:r>
    </w:p>
    <w:p w14:paraId="6433305D" w14:textId="6F9830C8" w:rsidR="008B2FE0" w:rsidRPr="004B1DBC" w:rsidRDefault="004B1DBC">
      <w:pPr>
        <w:rPr>
          <w:i/>
          <w:iCs/>
        </w:rPr>
      </w:pPr>
      <w:r w:rsidRPr="004B1DBC">
        <w:rPr>
          <w:i/>
          <w:iCs/>
        </w:rPr>
        <w:t>Captions</w:t>
      </w:r>
    </w:p>
    <w:p w14:paraId="33DE57CF" w14:textId="03E69C6E" w:rsidR="004C0F17" w:rsidRDefault="004C0F17" w:rsidP="004B1DBC">
      <w:pPr>
        <w:pStyle w:val="ListParagraph"/>
        <w:numPr>
          <w:ilvl w:val="0"/>
          <w:numId w:val="2"/>
        </w:numPr>
      </w:pPr>
      <w:r>
        <w:t>All figures and tables should be numbered. Tables and figures should be numbered separately.</w:t>
      </w:r>
    </w:p>
    <w:p w14:paraId="3CEA248F" w14:textId="1CA715CF" w:rsidR="004B1DBC" w:rsidRPr="007C1ACC" w:rsidRDefault="007C1ACC" w:rsidP="004B1DBC">
      <w:pPr>
        <w:pStyle w:val="ListParagraph"/>
        <w:numPr>
          <w:ilvl w:val="0"/>
          <w:numId w:val="2"/>
        </w:numPr>
        <w:rPr>
          <w:bCs/>
        </w:rPr>
      </w:pPr>
      <w:r w:rsidRPr="007C1ACC">
        <w:rPr>
          <w:bCs/>
        </w:rPr>
        <w:t>Titles</w:t>
      </w:r>
      <w:r w:rsidR="00D10D3A" w:rsidRPr="007C1ACC">
        <w:rPr>
          <w:bCs/>
        </w:rPr>
        <w:t xml:space="preserve"> are in title case and do not have a period. Figures</w:t>
      </w:r>
      <w:r>
        <w:rPr>
          <w:bCs/>
        </w:rPr>
        <w:t xml:space="preserve"> captions</w:t>
      </w:r>
      <w:r w:rsidR="00D10D3A" w:rsidRPr="007C1ACC">
        <w:rPr>
          <w:bCs/>
        </w:rPr>
        <w:t xml:space="preserve"> are in sentence case with a period at the end.</w:t>
      </w:r>
    </w:p>
    <w:p w14:paraId="515DD0CA" w14:textId="1C5D61B0" w:rsidR="004B1DBC" w:rsidRDefault="007C01E1" w:rsidP="004B1DBC">
      <w:pPr>
        <w:pStyle w:val="ListParagraph"/>
        <w:numPr>
          <w:ilvl w:val="0"/>
          <w:numId w:val="2"/>
        </w:numPr>
      </w:pPr>
      <w:r>
        <w:t>Figure labels</w:t>
      </w:r>
      <w:r w:rsidR="004B1DBC">
        <w:t xml:space="preserve"> appear below the figures, table labels appear above</w:t>
      </w:r>
      <w:r w:rsidR="004C0F17">
        <w:t xml:space="preserve"> the table</w:t>
      </w:r>
    </w:p>
    <w:p w14:paraId="7852D908" w14:textId="7D085F36" w:rsidR="004B1DBC" w:rsidRDefault="004B1DBC" w:rsidP="004B1DBC">
      <w:pPr>
        <w:pStyle w:val="ListParagraph"/>
        <w:numPr>
          <w:ilvl w:val="0"/>
          <w:numId w:val="2"/>
        </w:numPr>
      </w:pPr>
      <w:r>
        <w:t>All captions must be 12-point font</w:t>
      </w:r>
    </w:p>
    <w:p w14:paraId="40E8FE2B" w14:textId="17A9825D" w:rsidR="004C0F17" w:rsidRDefault="004C0F17" w:rsidP="004C0F17">
      <w:r>
        <w:rPr>
          <w:i/>
          <w:iCs/>
        </w:rPr>
        <w:t>Table Formatting</w:t>
      </w:r>
    </w:p>
    <w:p w14:paraId="3A4373EB" w14:textId="77777777" w:rsidR="00FC2709" w:rsidRDefault="004C0F17" w:rsidP="00D10D3A">
      <w:pPr>
        <w:pStyle w:val="ListParagraph"/>
        <w:numPr>
          <w:ilvl w:val="0"/>
          <w:numId w:val="3"/>
        </w:numPr>
      </w:pPr>
      <w:r>
        <w:t>Row and column borders (</w:t>
      </w:r>
      <w:r w:rsidRPr="00D10D3A">
        <w:rPr>
          <w:i/>
          <w:iCs/>
        </w:rPr>
        <w:t>rules</w:t>
      </w:r>
      <w:r>
        <w:t>)</w:t>
      </w:r>
      <w:r w:rsidRPr="00D10D3A">
        <w:rPr>
          <w:i/>
          <w:iCs/>
        </w:rPr>
        <w:t xml:space="preserve"> </w:t>
      </w:r>
      <w:r w:rsidRPr="004C0F17">
        <w:t xml:space="preserve">should be used sparingly. Many tables will require just three </w:t>
      </w:r>
      <w:r>
        <w:t>borders</w:t>
      </w:r>
      <w:r w:rsidRPr="004C0F17">
        <w:t>, all of them horizontal—one at the very top of the table, below the title and above the column heads; one just below the column heads; and one at the bottom of the table, along the bottom of the last row, above any notes to the table.</w:t>
      </w:r>
      <w:r w:rsidR="00D10D3A">
        <w:t xml:space="preserve">  </w:t>
      </w:r>
    </w:p>
    <w:p w14:paraId="76B0D87E" w14:textId="4681D25D" w:rsidR="00FC2709" w:rsidRDefault="00FC2709" w:rsidP="005051A0">
      <w:pPr>
        <w:pStyle w:val="ListParagraph"/>
      </w:pPr>
    </w:p>
    <w:p w14:paraId="7D700D67" w14:textId="5573C862" w:rsidR="00D3427B" w:rsidRDefault="00D3427B" w:rsidP="005051A0">
      <w:pPr>
        <w:pStyle w:val="ListParagraph"/>
      </w:pPr>
    </w:p>
    <w:p w14:paraId="55DB2E38" w14:textId="77777777" w:rsidR="000B47C7" w:rsidRDefault="000B47C7" w:rsidP="005051A0">
      <w:pPr>
        <w:pStyle w:val="ListParagraph"/>
      </w:pPr>
    </w:p>
    <w:p w14:paraId="14DCC0A7" w14:textId="77777777" w:rsidR="00D3427B" w:rsidRDefault="00D3427B" w:rsidP="005051A0">
      <w:pPr>
        <w:pStyle w:val="ListParagraph"/>
      </w:pPr>
    </w:p>
    <w:p w14:paraId="24DEEB14" w14:textId="0E2BA494" w:rsidR="00FC2709" w:rsidRPr="007C1ACC" w:rsidRDefault="00FC2709" w:rsidP="00FC2709">
      <w:pPr>
        <w:pStyle w:val="ListParagraph"/>
      </w:pPr>
      <w:r w:rsidRPr="007C1ACC">
        <w:lastRenderedPageBreak/>
        <w:t xml:space="preserve">Table 1 </w:t>
      </w:r>
      <w:r w:rsidR="00261925">
        <w:t>Villages of Origin by Resettlement Community</w:t>
      </w:r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2660"/>
        <w:gridCol w:w="1179"/>
        <w:gridCol w:w="2206"/>
        <w:gridCol w:w="2250"/>
      </w:tblGrid>
      <w:tr w:rsidR="007C1ACC" w:rsidRPr="00CE1530" w14:paraId="7BF73FC4" w14:textId="77777777" w:rsidTr="007C1ACC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02196" w14:textId="77777777" w:rsidR="007C1ACC" w:rsidRPr="00CE1530" w:rsidRDefault="007C1ACC" w:rsidP="00EB20C5">
            <w:pPr>
              <w:spacing w:after="0"/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  <w:t>Village (Parish)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1E29" w14:textId="77777777" w:rsidR="007C1ACC" w:rsidRPr="00CE1530" w:rsidRDefault="007C1ACC" w:rsidP="00EB20C5">
            <w:pPr>
              <w:spacing w:after="0"/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  <w:t>MIDUVI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2B3E2" w14:textId="77777777" w:rsidR="007C1ACC" w:rsidRPr="00CE1530" w:rsidRDefault="007C1ACC" w:rsidP="00EB20C5">
            <w:pPr>
              <w:spacing w:after="0"/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  <w:t>Samaritan's Purse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BA64B" w14:textId="77777777" w:rsidR="007C1ACC" w:rsidRPr="00CE1530" w:rsidRDefault="007C1ACC" w:rsidP="00EB20C5">
            <w:pPr>
              <w:spacing w:after="0"/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b/>
                <w:color w:val="000000"/>
                <w:kern w:val="22"/>
                <w:sz w:val="20"/>
                <w:szCs w:val="20"/>
              </w:rPr>
              <w:t>Esquel - Pusuca</w:t>
            </w:r>
          </w:p>
        </w:tc>
      </w:tr>
      <w:tr w:rsidR="007C1ACC" w:rsidRPr="00CE1530" w14:paraId="43A68B0A" w14:textId="77777777" w:rsidTr="007C1ACC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4F11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Bilbao (Bilbao)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B99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00D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9E6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</w:t>
            </w:r>
          </w:p>
        </w:tc>
      </w:tr>
      <w:tr w:rsidR="007C1ACC" w:rsidRPr="00CE1530" w14:paraId="4FA2C0B5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DA58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Yuibug (Bilbao)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4865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3026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D308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</w:tr>
      <w:tr w:rsidR="007C1ACC" w:rsidRPr="00CE1530" w14:paraId="2AE9D7A5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1B0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Capil (El Altar)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3FEC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2968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177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</w:tr>
      <w:tr w:rsidR="007C1ACC" w:rsidRPr="00CE1530" w14:paraId="3718773D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09E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Ganzhi (El Altar)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B8C5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291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F2E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</w:t>
            </w:r>
          </w:p>
        </w:tc>
      </w:tr>
      <w:tr w:rsidR="007C1ACC" w:rsidRPr="00CE1530" w14:paraId="43C82538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3EFE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Palictahua (El Altar)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7C53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6521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68D3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</w:tr>
      <w:tr w:rsidR="007C1ACC" w:rsidRPr="00CE1530" w14:paraId="7D9F7999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284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Anab</w:t>
            </w:r>
            <w:r>
              <w:rPr>
                <w:rFonts w:eastAsia="Times New Roman"/>
                <w:color w:val="000000"/>
                <w:kern w:val="22"/>
                <w:sz w:val="20"/>
                <w:szCs w:val="20"/>
              </w:rPr>
              <w:t>á</w:t>
            </w: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 xml:space="preserve"> (Puela)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A59B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453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4D1F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3</w:t>
            </w:r>
          </w:p>
        </w:tc>
      </w:tr>
      <w:tr w:rsidR="007C1ACC" w:rsidRPr="00CE1530" w14:paraId="3078D75A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CC87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Choglontuz (Puela)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5140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7E7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793C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</w:t>
            </w:r>
          </w:p>
        </w:tc>
      </w:tr>
      <w:tr w:rsidR="007C1ACC" w:rsidRPr="00CE1530" w14:paraId="5E627B87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6865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El Tingo (Puela)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639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5FC7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28A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4</w:t>
            </w:r>
          </w:p>
        </w:tc>
      </w:tr>
      <w:tr w:rsidR="007C1ACC" w:rsidRPr="00CE1530" w14:paraId="575A02BD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A41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Manzano (Puela)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BC7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5C07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754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7</w:t>
            </w:r>
          </w:p>
        </w:tc>
      </w:tr>
      <w:tr w:rsidR="007C1ACC" w:rsidRPr="00CE1530" w14:paraId="28F93E03" w14:textId="77777777" w:rsidTr="00EB20C5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E29B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Puela (Puela)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4E6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510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18E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</w:tr>
      <w:tr w:rsidR="007C1ACC" w:rsidRPr="00CE1530" w14:paraId="4696C258" w14:textId="77777777" w:rsidTr="007C1ACC">
        <w:trPr>
          <w:trHeight w:val="300"/>
        </w:trPr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25E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Pungal de Puela (Puela)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2B6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56</w:t>
            </w: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5FA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ED4E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25</w:t>
            </w:r>
          </w:p>
        </w:tc>
      </w:tr>
      <w:tr w:rsidR="007C1ACC" w:rsidRPr="00CE1530" w14:paraId="5909A21D" w14:textId="77777777" w:rsidTr="007C1ACC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A914C" w14:textId="77777777" w:rsidR="007C1ACC" w:rsidRPr="00CE1530" w:rsidRDefault="007C1ACC" w:rsidP="00EB20C5">
            <w:pPr>
              <w:spacing w:after="0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Penipe Township (Penipe)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D698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51B8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EB24" w14:textId="77777777" w:rsidR="007C1ACC" w:rsidRPr="00CE1530" w:rsidRDefault="007C1ACC" w:rsidP="00EB20C5">
            <w:pPr>
              <w:spacing w:after="0"/>
              <w:jc w:val="center"/>
              <w:rPr>
                <w:rFonts w:eastAsia="Times New Roman"/>
                <w:color w:val="000000"/>
                <w:kern w:val="22"/>
                <w:sz w:val="20"/>
                <w:szCs w:val="20"/>
              </w:rPr>
            </w:pPr>
            <w:r w:rsidRPr="00CE1530">
              <w:rPr>
                <w:rFonts w:eastAsia="Times New Roman"/>
                <w:color w:val="000000"/>
                <w:kern w:val="22"/>
                <w:sz w:val="20"/>
                <w:szCs w:val="20"/>
              </w:rPr>
              <w:t>0</w:t>
            </w:r>
          </w:p>
        </w:tc>
      </w:tr>
    </w:tbl>
    <w:p w14:paraId="76E33D7F" w14:textId="5E0EE72D" w:rsidR="005051A0" w:rsidRPr="007C1ACC" w:rsidRDefault="005051A0" w:rsidP="007C1ACC">
      <w:pPr>
        <w:ind w:left="180"/>
      </w:pPr>
      <w:r w:rsidRPr="007C1ACC">
        <w:t xml:space="preserve">Note: </w:t>
      </w:r>
      <w:r w:rsidR="007C1ACC" w:rsidRPr="007C1ACC">
        <w:t>Table data drawn from a survey administered by the author in April 2009</w:t>
      </w:r>
      <w:r w:rsidRPr="007C1ACC">
        <w:t>.</w:t>
      </w:r>
    </w:p>
    <w:p w14:paraId="0EFF0309" w14:textId="6824295D" w:rsidR="00C31CAF" w:rsidRPr="00C31CAF" w:rsidRDefault="00C31CAF" w:rsidP="00C31CAF"/>
    <w:p w14:paraId="4E53BE5C" w14:textId="59720F22" w:rsidR="00C31CAF" w:rsidRPr="00C31CAF" w:rsidRDefault="00C31CAF" w:rsidP="00C31CAF">
      <w:pPr>
        <w:rPr>
          <w:b/>
          <w:bCs/>
        </w:rPr>
      </w:pPr>
      <w:r w:rsidRPr="00C31CAF">
        <w:rPr>
          <w:b/>
          <w:bCs/>
        </w:rPr>
        <w:t>References and Citation Style</w:t>
      </w:r>
    </w:p>
    <w:p w14:paraId="0C821FCE" w14:textId="1A808D09" w:rsidR="007C1ACC" w:rsidRDefault="007C1ACC" w:rsidP="00C31CAF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All inline citations and reference list</w:t>
      </w:r>
      <w:r w:rsidR="00261925">
        <w:rPr>
          <w:rFonts w:eastAsia="Times New Roman"/>
        </w:rPr>
        <w:t xml:space="preserve"> entries</w:t>
      </w:r>
      <w:r>
        <w:rPr>
          <w:rFonts w:eastAsia="Times New Roman"/>
        </w:rPr>
        <w:t xml:space="preserve"> should follow the Chicago Manual of Style Author-Date Format.</w:t>
      </w:r>
      <w:r w:rsidR="007936D9">
        <w:rPr>
          <w:rFonts w:eastAsia="Times New Roman"/>
        </w:rPr>
        <w:t xml:space="preserve"> The second line indentation should be set at .25.</w:t>
      </w:r>
    </w:p>
    <w:p w14:paraId="3EB5117A" w14:textId="78041963" w:rsidR="00C31CAF" w:rsidRDefault="00C31CAF" w:rsidP="00C31CAF">
      <w:pPr>
        <w:shd w:val="clear" w:color="auto" w:fill="FFFFFF"/>
        <w:rPr>
          <w:rFonts w:eastAsia="Times New Roman"/>
        </w:rPr>
      </w:pPr>
      <w:r w:rsidRPr="00C31CAF">
        <w:rPr>
          <w:rFonts w:eastAsia="Times New Roman"/>
        </w:rPr>
        <w:t>Bibliographic and notation entries should be single spaced internally but contain a space between each entry.</w:t>
      </w:r>
    </w:p>
    <w:p w14:paraId="504EE639" w14:textId="036D4BF9" w:rsidR="00882B7A" w:rsidRDefault="00882B7A" w:rsidP="00C31CAF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Create the second line indentation using the ruler in your word processing software</w:t>
      </w:r>
      <w:r w:rsidR="000B47C7">
        <w:rPr>
          <w:rFonts w:eastAsia="Times New Roman"/>
        </w:rPr>
        <w:t xml:space="preserve"> (do not use return and space bar)</w:t>
      </w:r>
      <w:r>
        <w:rPr>
          <w:rFonts w:eastAsia="Times New Roman"/>
        </w:rPr>
        <w:t>.</w:t>
      </w:r>
    </w:p>
    <w:p w14:paraId="3E8456D6" w14:textId="77777777" w:rsidR="00882B7A" w:rsidRDefault="00882B7A" w:rsidP="00882B7A">
      <w:pPr>
        <w:spacing w:after="0"/>
        <w:ind w:left="720" w:hanging="720"/>
      </w:pPr>
    </w:p>
    <w:p w14:paraId="259C8FD2" w14:textId="67E45B02" w:rsidR="00882B7A" w:rsidRDefault="00882B7A" w:rsidP="007936D9">
      <w:pPr>
        <w:spacing w:after="0"/>
        <w:ind w:left="450" w:hanging="450"/>
      </w:pPr>
      <w:r w:rsidRPr="0075154B">
        <w:t>Abercrombie, Thomas A. 1998</w:t>
      </w:r>
      <w:r w:rsidRPr="0075154B">
        <w:rPr>
          <w:i/>
        </w:rPr>
        <w:t>. Pathways of Memory and Power: Ethnography and History Among and Andean People</w:t>
      </w:r>
      <w:r w:rsidRPr="0075154B">
        <w:t>. Madison: University of Wisconsin Press.</w:t>
      </w:r>
    </w:p>
    <w:p w14:paraId="06A3EEA8" w14:textId="77777777" w:rsidR="00882B7A" w:rsidRPr="0075154B" w:rsidRDefault="00882B7A" w:rsidP="00882B7A">
      <w:pPr>
        <w:spacing w:after="0"/>
        <w:ind w:left="720" w:hanging="720"/>
      </w:pPr>
    </w:p>
    <w:p w14:paraId="024634DF" w14:textId="5A07487E" w:rsidR="00882B7A" w:rsidRDefault="00882B7A" w:rsidP="007936D9">
      <w:pPr>
        <w:spacing w:after="0"/>
        <w:ind w:left="450" w:hanging="450"/>
      </w:pPr>
      <w:r w:rsidRPr="0075154B">
        <w:t xml:space="preserve">Abrams, Philip. 1988. “Notes on the Difficulty of Studying the State.” </w:t>
      </w:r>
      <w:r w:rsidRPr="0075154B">
        <w:rPr>
          <w:i/>
        </w:rPr>
        <w:t>Journal of Historical Sociology</w:t>
      </w:r>
      <w:r w:rsidRPr="0075154B">
        <w:t xml:space="preserve"> 1:58-89.</w:t>
      </w:r>
    </w:p>
    <w:p w14:paraId="64750315" w14:textId="77777777" w:rsidR="00882B7A" w:rsidRPr="0075154B" w:rsidRDefault="00882B7A" w:rsidP="007936D9">
      <w:pPr>
        <w:spacing w:after="0"/>
        <w:ind w:left="450" w:hanging="450"/>
      </w:pPr>
    </w:p>
    <w:p w14:paraId="30855AD1" w14:textId="1715CD1C" w:rsidR="00676BE4" w:rsidRDefault="00882B7A" w:rsidP="007936D9">
      <w:pPr>
        <w:spacing w:after="0"/>
        <w:ind w:left="450" w:hanging="450"/>
      </w:pPr>
      <w:r w:rsidRPr="0075154B">
        <w:t xml:space="preserve">Agamben, Giorgio. 1998. </w:t>
      </w:r>
      <w:r w:rsidRPr="0075154B">
        <w:rPr>
          <w:i/>
        </w:rPr>
        <w:t>Homo Sacer: Sovereign Power and Bare Life</w:t>
      </w:r>
      <w:r w:rsidRPr="0075154B">
        <w:t>. Palo Alto: Stanford University Press.</w:t>
      </w:r>
    </w:p>
    <w:sectPr w:rsidR="0067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DFE"/>
    <w:multiLevelType w:val="multilevel"/>
    <w:tmpl w:val="48F8A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23CAF"/>
    <w:multiLevelType w:val="multilevel"/>
    <w:tmpl w:val="737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93781"/>
    <w:multiLevelType w:val="hybridMultilevel"/>
    <w:tmpl w:val="24A0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026C"/>
    <w:multiLevelType w:val="multilevel"/>
    <w:tmpl w:val="0D946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63350E"/>
    <w:multiLevelType w:val="multilevel"/>
    <w:tmpl w:val="0D946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B40E2C"/>
    <w:multiLevelType w:val="hybridMultilevel"/>
    <w:tmpl w:val="CB0A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64409"/>
    <w:multiLevelType w:val="hybridMultilevel"/>
    <w:tmpl w:val="9912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E1"/>
    <w:rsid w:val="00015EF5"/>
    <w:rsid w:val="000239DA"/>
    <w:rsid w:val="000773CE"/>
    <w:rsid w:val="000B47C7"/>
    <w:rsid w:val="00150065"/>
    <w:rsid w:val="0017367E"/>
    <w:rsid w:val="001A785B"/>
    <w:rsid w:val="001E7F25"/>
    <w:rsid w:val="00261925"/>
    <w:rsid w:val="004B1DBC"/>
    <w:rsid w:val="004C0F17"/>
    <w:rsid w:val="004F3AF0"/>
    <w:rsid w:val="005051A0"/>
    <w:rsid w:val="005069A2"/>
    <w:rsid w:val="00676BE4"/>
    <w:rsid w:val="007936D9"/>
    <w:rsid w:val="007C01E1"/>
    <w:rsid w:val="007C1ACC"/>
    <w:rsid w:val="007C5C3D"/>
    <w:rsid w:val="00882B7A"/>
    <w:rsid w:val="00892284"/>
    <w:rsid w:val="008A166A"/>
    <w:rsid w:val="008B2FE0"/>
    <w:rsid w:val="00A368E5"/>
    <w:rsid w:val="00C31CAF"/>
    <w:rsid w:val="00C36678"/>
    <w:rsid w:val="00CE4C02"/>
    <w:rsid w:val="00D10D3A"/>
    <w:rsid w:val="00D3427B"/>
    <w:rsid w:val="00D97C92"/>
    <w:rsid w:val="00E6169F"/>
    <w:rsid w:val="00EF6269"/>
    <w:rsid w:val="00F62211"/>
    <w:rsid w:val="00F85B5F"/>
    <w:rsid w:val="00F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E37B"/>
  <w15:chartTrackingRefBased/>
  <w15:docId w15:val="{C73C4706-8007-4322-9708-289339C9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DBC"/>
    <w:pPr>
      <w:ind w:left="720"/>
      <w:contextualSpacing/>
    </w:pPr>
  </w:style>
  <w:style w:type="table" w:styleId="TableGrid">
    <w:name w:val="Table Grid"/>
    <w:basedOn w:val="TableNormal"/>
    <w:uiPriority w:val="39"/>
    <w:rsid w:val="00FC27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0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8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_j8JpkzjjoYsIDRx-9jbYfG-b_cGtUrmv7JhOMitdPM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E065-7000-45CD-B6A1-FFCC12A8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Faas</dc:creator>
  <cp:keywords/>
  <dc:description/>
  <cp:lastModifiedBy>A.J. Faas</cp:lastModifiedBy>
  <cp:revision>6</cp:revision>
  <cp:lastPrinted>2022-01-31T17:58:00Z</cp:lastPrinted>
  <dcterms:created xsi:type="dcterms:W3CDTF">2022-02-12T03:23:00Z</dcterms:created>
  <dcterms:modified xsi:type="dcterms:W3CDTF">2022-02-12T03:30:00Z</dcterms:modified>
</cp:coreProperties>
</file>