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SU Meeting Room 2A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October 13th,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Review Process for Midterms Energizers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Itinerary &amp; Detailed Plan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Review Resources for Social Media Awareness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resources should we highlight? How can SJSU help?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Coordinating Logistics for Student Author Book Fair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NASO x A.S. Collaboration Event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-914398</wp:posOffset>
            </wp:positionH>
            <wp:positionV relativeFrom="paragraph">
              <wp:posOffset>3505200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24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-930900</wp:posOffset>
          </wp:positionH>
          <wp:positionV relativeFrom="paragraph">
            <wp:posOffset>-994126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25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dFGD7PHi7GA8s5noQms8Wg2/w==">AMUW2mWLzoQ6kYiqexzkdnX+quKWFBv8aQg4H1uTqj0/eseQiaHKGnzYhnWpPpo1SSxRuW9m7g+ByA8hARapMP1MaIPz1MitZ6fWQr9l779zTjnq816bKhdstotqi6RrmyM7AdhIjuWx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