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 9/7/2022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Updates on relevant policy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360" w:lineRule="auto"/>
        <w:ind w:left="288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AB 367 Menstrual products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360" w:lineRule="auto"/>
        <w:ind w:left="288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SB 24 abortion medication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Student at large project process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Lobby corps instagram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Previous policy agenda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Lobby corps recruitment info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CSSA and CSunity 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Dinner after next Lobby corps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-923920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1" name="image1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-933445</wp:posOffset>
          </wp:positionH>
          <wp:positionV relativeFrom="paragraph">
            <wp:posOffset>-1005835</wp:posOffset>
          </wp:positionV>
          <wp:extent cx="7848600" cy="934085"/>
          <wp:effectExtent b="0" l="0" r="0" t="0"/>
          <wp:wrapNone/>
          <wp:docPr descr="A picture containing funnel chart&#10;&#10;Description automatically generated" id="12" name="image2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2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MIa0oJcDbV+sQU24M7PsvWUIiQ==">AMUW2mUfBfDV6Kl93O5j9kvW+IKpUziWV+E00lpRNrUEKgTSecKXIPlFa77Z22Q6VCQDw6laTKzYeJ6+dNx+DvaBO1oeclQFLcQQV22QeZ1ILQXpPsggpbYCPIjP8P12B7WSg0YEe2Pw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