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B6EF5" w:rsidRDefault="0067054A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ASSOCIATED STUDENTS BOARD OF DIRECTORS’ </w:t>
      </w:r>
      <w:r>
        <w:rPr>
          <w:rFonts w:ascii="Times New Roman" w:eastAsia="Times New Roman" w:hAnsi="Times New Roman" w:cs="Times New Roman"/>
          <w:b w:val="0"/>
        </w:rPr>
        <w:t xml:space="preserve">SPECIAL </w:t>
      </w:r>
      <w:r>
        <w:rPr>
          <w:rFonts w:ascii="Times New Roman" w:eastAsia="Times New Roman" w:hAnsi="Times New Roman" w:cs="Times New Roman"/>
          <w:b w:val="0"/>
        </w:rPr>
        <w:t>MEETING</w:t>
      </w:r>
    </w:p>
    <w:p w14:paraId="00000002" w14:textId="77777777" w:rsidR="002B6EF5" w:rsidRDefault="0067054A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23</w:t>
      </w:r>
      <w:r>
        <w:rPr>
          <w:rFonts w:ascii="Times New Roman" w:eastAsia="Times New Roman" w:hAnsi="Times New Roman" w:cs="Times New Roman"/>
        </w:rPr>
        <w:t xml:space="preserve">, 2021,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 p.m.</w:t>
      </w:r>
    </w:p>
    <w:p w14:paraId="00000003" w14:textId="77777777" w:rsidR="002B6EF5" w:rsidRDefault="0067054A">
      <w:pPr>
        <w:ind w:left="0" w:hanging="2"/>
        <w:jc w:val="center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2B6EF5" w:rsidRDefault="0067054A">
      <w:pPr>
        <w:spacing w:before="240"/>
        <w:ind w:left="0" w:hanging="2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This meeting falls under the Gloria Romero Open Meeting Act of 2000 Section 89306.5 Su</w:t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bsection(s) a-g. </w:t>
      </w:r>
    </w:p>
    <w:p w14:paraId="00000005" w14:textId="77777777" w:rsidR="002B6EF5" w:rsidRDefault="0067054A">
      <w:pPr>
        <w:ind w:left="0" w:hanging="2"/>
        <w:jc w:val="center"/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color w:val="1155CC"/>
            <w:u w:val="single"/>
          </w:rPr>
          <w:t>https://sjsu.zoom.us/j/89734966348?pwd=azgxdi9mdzRiVVVSYTF5aGRTU1RMQT09</w:t>
        </w:r>
      </w:hyperlink>
    </w:p>
    <w:p w14:paraId="00000006" w14:textId="77777777" w:rsidR="002B6EF5" w:rsidRDefault="0067054A">
      <w:pPr>
        <w:ind w:left="0" w:hanging="2"/>
        <w:jc w:val="center"/>
      </w:pPr>
      <w:r>
        <w:t xml:space="preserve">    Password: AS2021</w:t>
      </w:r>
    </w:p>
    <w:p w14:paraId="00000007" w14:textId="77777777" w:rsidR="002B6EF5" w:rsidRDefault="002B6EF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8" w14:textId="77777777" w:rsidR="002B6EF5" w:rsidRDefault="0067054A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9" w14:textId="77777777" w:rsidR="002B6EF5" w:rsidRDefault="002B6EF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A" w14:textId="77777777" w:rsidR="002B6EF5" w:rsidRDefault="0067054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B" w14:textId="77777777" w:rsidR="002B6EF5" w:rsidRDefault="0067054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</w:t>
      </w:r>
      <w:r>
        <w:rPr>
          <w:rFonts w:ascii="Times New Roman" w:eastAsia="Times New Roman" w:hAnsi="Times New Roman" w:cs="Times New Roman"/>
          <w:b/>
          <w:u w:val="single"/>
        </w:rPr>
        <w:t>edgement</w:t>
      </w:r>
    </w:p>
    <w:p w14:paraId="0000000C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14:paraId="0000000D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E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F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10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1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14:paraId="00000013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4" w14:textId="26501F18" w:rsidR="002B6EF5" w:rsidRPr="00353174" w:rsidRDefault="0067054A" w:rsidP="00353174">
      <w:pPr>
        <w:pStyle w:val="ListParagraph"/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353174">
        <w:rPr>
          <w:rFonts w:ascii="Times New Roman" w:eastAsia="Times New Roman" w:hAnsi="Times New Roman" w:cs="Times New Roman"/>
          <w:b/>
        </w:rPr>
        <w:t>Action Item:</w:t>
      </w:r>
      <w:r w:rsidRPr="00353174">
        <w:rPr>
          <w:rFonts w:ascii="Times New Roman" w:eastAsia="Times New Roman" w:hAnsi="Times New Roman" w:cs="Times New Roman"/>
        </w:rPr>
        <w:t xml:space="preserve"> Letter of Support for</w:t>
      </w:r>
      <w:r w:rsidRPr="00353174">
        <w:rPr>
          <w:rFonts w:ascii="Times New Roman" w:eastAsia="Times New Roman" w:hAnsi="Times New Roman" w:cs="Times New Roman"/>
          <w:b/>
        </w:rPr>
        <w:t xml:space="preserve"> </w:t>
      </w:r>
      <w:r w:rsidRPr="00353174">
        <w:rPr>
          <w:rFonts w:ascii="Times New Roman" w:eastAsia="Times New Roman" w:hAnsi="Times New Roman" w:cs="Times New Roman"/>
        </w:rPr>
        <w:t xml:space="preserve">Resolution for the City and County of San Francisco Board of Supervisors to apologize to Chinese Immigrants and their descendants for acts of atrocities </w:t>
      </w:r>
      <w:r w:rsidR="00353174" w:rsidRPr="00353174">
        <w:rPr>
          <w:rFonts w:ascii="Times New Roman" w:eastAsia="Times New Roman" w:hAnsi="Times New Roman" w:cs="Times New Roman"/>
        </w:rPr>
        <w:t>committed</w:t>
      </w:r>
      <w:r w:rsidRPr="00353174">
        <w:rPr>
          <w:rFonts w:ascii="Times New Roman" w:eastAsia="Times New Roman" w:hAnsi="Times New Roman" w:cs="Times New Roman"/>
        </w:rPr>
        <w:t>, fundamental injustice, and discrimination, seeking forgiveness, and committing to the rectifi</w:t>
      </w:r>
      <w:r w:rsidRPr="00353174">
        <w:rPr>
          <w:rFonts w:ascii="Times New Roman" w:eastAsia="Times New Roman" w:hAnsi="Times New Roman" w:cs="Times New Roman"/>
        </w:rPr>
        <w:t xml:space="preserve">cation and redress of past policies and misdeeds. </w:t>
      </w:r>
    </w:p>
    <w:p w14:paraId="00000015" w14:textId="6EB17A1C" w:rsidR="002B6EF5" w:rsidRDefault="0067054A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5317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(Vice President Chuang)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0000016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 </w:t>
      </w:r>
    </w:p>
    <w:p w14:paraId="00000017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8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19" w14:textId="77777777" w:rsidR="002B6EF5" w:rsidRDefault="002B6EF5">
      <w:pPr>
        <w:ind w:left="0" w:hanging="2"/>
      </w:pPr>
    </w:p>
    <w:sectPr w:rsidR="002B6EF5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CA38" w14:textId="77777777" w:rsidR="0067054A" w:rsidRDefault="0067054A">
      <w:pPr>
        <w:spacing w:line="240" w:lineRule="auto"/>
        <w:ind w:left="0" w:hanging="2"/>
      </w:pPr>
      <w:r>
        <w:separator/>
      </w:r>
    </w:p>
  </w:endnote>
  <w:endnote w:type="continuationSeparator" w:id="0">
    <w:p w14:paraId="6DE75E1C" w14:textId="77777777" w:rsidR="0067054A" w:rsidRDefault="006705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default"/>
  </w:font>
  <w:font w:name="Geneva">
    <w:panose1 w:val="020B050303040404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2B6EF5" w:rsidRDefault="002B6EF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3EBA" w14:textId="77777777" w:rsidR="0067054A" w:rsidRDefault="0067054A">
      <w:pPr>
        <w:spacing w:line="240" w:lineRule="auto"/>
        <w:ind w:left="0" w:hanging="2"/>
      </w:pPr>
      <w:r>
        <w:separator/>
      </w:r>
    </w:p>
  </w:footnote>
  <w:footnote w:type="continuationSeparator" w:id="0">
    <w:p w14:paraId="5D71A68F" w14:textId="77777777" w:rsidR="0067054A" w:rsidRDefault="0067054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594C"/>
    <w:multiLevelType w:val="multilevel"/>
    <w:tmpl w:val="F3687F84"/>
    <w:lvl w:ilvl="0">
      <w:start w:val="1"/>
      <w:numFmt w:val="decimal"/>
      <w:lvlText w:val="%1."/>
      <w:lvlJc w:val="left"/>
      <w:pPr>
        <w:ind w:left="21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30" w:hanging="360"/>
      </w:pPr>
      <w:rPr>
        <w:u w:val="none"/>
      </w:rPr>
    </w:lvl>
  </w:abstractNum>
  <w:abstractNum w:abstractNumId="1" w15:restartNumberingAfterBreak="0">
    <w:nsid w:val="3E685AC3"/>
    <w:multiLevelType w:val="multilevel"/>
    <w:tmpl w:val="81147D52"/>
    <w:lvl w:ilvl="0">
      <w:start w:val="1"/>
      <w:numFmt w:val="upperRoman"/>
      <w:pStyle w:val="Heading1"/>
      <w:lvlText w:val="%1."/>
      <w:lvlJc w:val="left"/>
      <w:pPr>
        <w:ind w:left="1080" w:hanging="72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Heading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Heading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03317EE"/>
    <w:multiLevelType w:val="hybridMultilevel"/>
    <w:tmpl w:val="528ACA28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F5"/>
    <w:rsid w:val="002B6EF5"/>
    <w:rsid w:val="00353174"/>
    <w:rsid w:val="006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C108E"/>
  <w15:docId w15:val="{26E6BBC5-0A62-3548-8323-CA22182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ind w:left="-1" w:hanging="1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gRwps604ONmIIk2gt82JjU941w==">AMUW2mX+74+ln43o3PiacAHvVnDkzGQx7HcL7+SvAG/5ICaF38Vvjm7Hnym5JONCO6AFutovGiUuNvwpo9fshSq9/sjurrKVCnJVqP6IzZ0OnHO3xui4RXA=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Rugeley-Valle</cp:lastModifiedBy>
  <cp:revision>2</cp:revision>
  <dcterms:created xsi:type="dcterms:W3CDTF">2021-01-29T00:02:00Z</dcterms:created>
  <dcterms:modified xsi:type="dcterms:W3CDTF">2021-11-22T13:18:00Z</dcterms:modified>
</cp:coreProperties>
</file>