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March 1,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320"/>
          <w:tab w:val="left" w:leader="none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Game Development Club at San Jose State University Funding Request for  the amount of $1,566.00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Spartan Racing Funding Request for the amount of $4,736.62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Student Occupational Therapy Association Funding Request for the amount of $1,500.00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Environmental Resource Center Funding Request for the amount of $2,581.87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Indian Student Organization Funding Request for the amount of $1,700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180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2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u7YsUvpsKgSpFnK+CKCZou13dw==">AMUW2mU5S+ZvMj4ks01r92haz10vB1501YXufQqFHo4dLco1Bgkf/CqS2Df7XmHv6vOz9ojXaSXJIF6dMy5hyPK3j77tEOELdZ4B5zX+V+CebI3HIyMj+SeovUjU1DSDtBaaZIQH1rj/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