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0BA4" w14:textId="77777777" w:rsidR="00DE74F6" w:rsidRDefault="00DE74F6" w:rsidP="00DE74F6">
      <w:pPr>
        <w:spacing w:after="0" w:line="240" w:lineRule="auto"/>
        <w:rPr>
          <w:rFonts w:ascii="Arial" w:eastAsia="Arial" w:hAnsi="Arial" w:cs="Arial"/>
          <w:b/>
        </w:rPr>
      </w:pPr>
      <w:r>
        <w:rPr>
          <w:rFonts w:ascii="Arial" w:eastAsia="Arial" w:hAnsi="Arial" w:cs="Arial"/>
          <w:b/>
        </w:rPr>
        <w:t>FACILITIES AND OTHER RESOURCES</w:t>
      </w:r>
      <w:r>
        <w:rPr>
          <w:rFonts w:ascii="Arial" w:eastAsia="Arial" w:hAnsi="Arial" w:cs="Arial"/>
        </w:rPr>
        <w:t xml:space="preserve"> - </w:t>
      </w:r>
      <w:r>
        <w:rPr>
          <w:rFonts w:ascii="Arial" w:eastAsia="Arial" w:hAnsi="Arial" w:cs="Arial"/>
          <w:b/>
        </w:rPr>
        <w:t>San José State University</w:t>
      </w:r>
    </w:p>
    <w:p w14:paraId="06056B39" w14:textId="77777777" w:rsidR="00DE74F6" w:rsidRDefault="00DE74F6" w:rsidP="00DE74F6">
      <w:pPr>
        <w:spacing w:after="0" w:line="240" w:lineRule="auto"/>
        <w:rPr>
          <w:rFonts w:ascii="Arial" w:eastAsia="Arial" w:hAnsi="Arial" w:cs="Arial"/>
          <w:b/>
          <w:u w:val="single"/>
        </w:rPr>
      </w:pPr>
    </w:p>
    <w:p w14:paraId="18EF189D"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Scientific Environment</w:t>
      </w:r>
    </w:p>
    <w:p w14:paraId="27900DA3" w14:textId="77777777" w:rsidR="00DE74F6" w:rsidRDefault="00DE74F6" w:rsidP="00DE74F6">
      <w:pPr>
        <w:spacing w:after="0" w:line="240" w:lineRule="auto"/>
        <w:rPr>
          <w:rFonts w:ascii="Arial" w:eastAsia="Arial" w:hAnsi="Arial" w:cs="Arial"/>
          <w:b/>
          <w:u w:val="single"/>
        </w:rPr>
      </w:pPr>
    </w:p>
    <w:p w14:paraId="32190CB0" w14:textId="77777777" w:rsidR="00846883" w:rsidRPr="00DF4A1C" w:rsidRDefault="00DE74F6" w:rsidP="00846883">
      <w:pPr>
        <w:widowControl w:val="0"/>
        <w:autoSpaceDE w:val="0"/>
        <w:autoSpaceDN w:val="0"/>
        <w:spacing w:line="240" w:lineRule="auto"/>
        <w:rPr>
          <w:rFonts w:ascii="Arial" w:eastAsia="Arial" w:hAnsi="Arial" w:cs="Arial"/>
          <w:color w:val="231F20"/>
          <w:lang w:eastAsia="ja-JP"/>
        </w:rPr>
      </w:pPr>
      <w:r>
        <w:rPr>
          <w:rFonts w:ascii="Arial" w:eastAsia="Arial" w:hAnsi="Arial" w:cs="Arial"/>
        </w:rPr>
        <w:t xml:space="preserve">San José State University (SJSU), the largest university in the populous southern tip of the San Francisco Bay Area, annually delivers a comprehensive education to over 33,000 students and awards an average of 9,100 bachelor’s and master’s degrees across 134 areas of study and seven colleges. Founded in 1857, SJSU is California’s oldest public university. Today, SJSU ranks fifth in enrollment within the 23-campus California State University, the largest university system in the United States. SJSU provides an affordable, high-quality university education to a largely local community (Santa Clara County residents, 40%; other California counties, 49%). </w:t>
      </w:r>
      <w:r w:rsidR="00846883" w:rsidRPr="00DF4A1C">
        <w:rPr>
          <w:rFonts w:ascii="Arial" w:eastAsia="Arial" w:hAnsi="Arial" w:cs="Arial"/>
          <w:color w:val="231F20"/>
          <w:lang w:eastAsia="ja-JP"/>
        </w:rPr>
        <w:t>Situated in downtown San José, the capital of Silicon Valley and one of the nation’s most highly educated and entrepreneurial regions, our proximity to major innovators and high-tech leaders offers unparalleled access to intellectual resources and opportunities for research partnerships, internships and placement. As the top provider of education, engineering, computer science and business graduates to Silicon Valley employers, we monitor emerging trends and markets to adapt curricula to match 21st Century workforce needs.</w:t>
      </w:r>
    </w:p>
    <w:p w14:paraId="1A336927" w14:textId="77777777" w:rsidR="00DE74F6" w:rsidRDefault="00DE74F6" w:rsidP="00DE74F6">
      <w:pPr>
        <w:spacing w:after="0" w:line="240" w:lineRule="auto"/>
        <w:rPr>
          <w:rFonts w:ascii="Arial" w:eastAsia="Arial" w:hAnsi="Arial" w:cs="Arial"/>
        </w:rPr>
      </w:pPr>
    </w:p>
    <w:p w14:paraId="4155B98F" w14:textId="77777777" w:rsidR="00DE74F6" w:rsidRDefault="00DE74F6" w:rsidP="00DE74F6">
      <w:pPr>
        <w:spacing w:after="0" w:line="240" w:lineRule="auto"/>
        <w:rPr>
          <w:rFonts w:ascii="Arial" w:eastAsia="Arial" w:hAnsi="Arial" w:cs="Arial"/>
        </w:rPr>
      </w:pPr>
      <w:r>
        <w:rPr>
          <w:rFonts w:ascii="Arial" w:eastAsia="Arial" w:hAnsi="Arial" w:cs="Arial"/>
        </w:rPr>
        <w:t>SJSU has one of the nation’s most ethnically diverse student populations. SJSU has a majority minority student population, with 82% of students reported as non-White in fall 2019 (42% Asian American, 29% Latinx, and 3% Black or African American, 9% multiracial or other). The diversity of our campus is one of our primary strengths, and SJSU promotes diversity in research with a host of programs supported by the National Institutes of Health (NIH) and National Science Foundation (NSF). The gender divide among students is roughly equal (51% female). SJSU ranks 11</w:t>
      </w:r>
      <w:r>
        <w:rPr>
          <w:rFonts w:ascii="Arial" w:eastAsia="Arial" w:hAnsi="Arial" w:cs="Arial"/>
          <w:vertAlign w:val="superscript"/>
        </w:rPr>
        <w:t>th </w:t>
      </w:r>
      <w:r>
        <w:rPr>
          <w:rFonts w:ascii="Arial" w:eastAsia="Arial" w:hAnsi="Arial" w:cs="Arial"/>
        </w:rPr>
        <w:t>in the United States for the number of Baccalaureate and 29</w:t>
      </w:r>
      <w:r>
        <w:rPr>
          <w:rFonts w:ascii="Arial" w:eastAsia="Arial" w:hAnsi="Arial" w:cs="Arial"/>
          <w:vertAlign w:val="superscript"/>
        </w:rPr>
        <w:t>th </w:t>
      </w:r>
      <w:r>
        <w:rPr>
          <w:rFonts w:ascii="Arial" w:eastAsia="Arial" w:hAnsi="Arial" w:cs="Arial"/>
        </w:rPr>
        <w:t>for Master’s degrees awarded to minority students (2020 Diverse: Issues in Higher Education Top 100). SJSU is 7</w:t>
      </w:r>
      <w:r>
        <w:rPr>
          <w:rFonts w:ascii="Arial" w:eastAsia="Arial" w:hAnsi="Arial" w:cs="Arial"/>
          <w:vertAlign w:val="superscript"/>
        </w:rPr>
        <w:t>th</w:t>
      </w:r>
      <w:r>
        <w:rPr>
          <w:rFonts w:ascii="Arial" w:eastAsia="Arial" w:hAnsi="Arial" w:cs="Arial"/>
        </w:rPr>
        <w:t> in Top Public Schools and 3rd</w:t>
      </w:r>
      <w:r>
        <w:rPr>
          <w:rFonts w:ascii="Arial" w:eastAsia="Arial" w:hAnsi="Arial" w:cs="Arial"/>
          <w:vertAlign w:val="superscript"/>
        </w:rPr>
        <w:t> </w:t>
      </w:r>
      <w:r>
        <w:rPr>
          <w:rFonts w:ascii="Arial" w:eastAsia="Arial" w:hAnsi="Arial" w:cs="Arial"/>
        </w:rPr>
        <w:t xml:space="preserve">in the Social Mobility Rankings (2020 U.S. News &amp; World Report). </w:t>
      </w:r>
      <w:r>
        <w:rPr>
          <w:rFonts w:ascii="Arial" w:eastAsia="Arial" w:hAnsi="Arial" w:cs="Arial"/>
          <w:b/>
        </w:rPr>
        <w:t>In 2020, SJSU was named as Money Magazine's #1 Most Transformative College in the U.S.</w:t>
      </w:r>
      <w:r>
        <w:rPr>
          <w:rFonts w:ascii="Arial" w:eastAsia="Arial" w:hAnsi="Arial" w:cs="Arial"/>
        </w:rPr>
        <w:t> SJSU is a designated eligible institution under the Title III and Title V programs of the Higher Education Act of 1965, a Minority-Serving Institution, an Asian American and Native American Pacific Islander-Serving Institution, and a Hispanic-Serving Institution.</w:t>
      </w:r>
    </w:p>
    <w:p w14:paraId="10BC8C3A" w14:textId="77777777" w:rsidR="00DE74F6" w:rsidRDefault="00DE74F6" w:rsidP="00DE74F6">
      <w:pPr>
        <w:spacing w:after="0" w:line="240" w:lineRule="auto"/>
        <w:rPr>
          <w:rFonts w:ascii="Arial" w:eastAsia="Arial" w:hAnsi="Arial" w:cs="Arial"/>
        </w:rPr>
      </w:pPr>
    </w:p>
    <w:p w14:paraId="65400550" w14:textId="77777777" w:rsidR="00DE74F6" w:rsidRDefault="00DE74F6" w:rsidP="00DE74F6">
      <w:pPr>
        <w:spacing w:after="0" w:line="240" w:lineRule="auto"/>
        <w:rPr>
          <w:rFonts w:ascii="Arial" w:eastAsia="Arial" w:hAnsi="Arial" w:cs="Arial"/>
        </w:rPr>
      </w:pPr>
    </w:p>
    <w:p w14:paraId="6418C3C6"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SJSU Institutional Support for Research</w:t>
      </w:r>
    </w:p>
    <w:p w14:paraId="251B6A7C" w14:textId="77777777" w:rsidR="00DE74F6" w:rsidRDefault="00DE74F6" w:rsidP="00DE74F6">
      <w:pPr>
        <w:spacing w:after="0" w:line="240" w:lineRule="auto"/>
        <w:rPr>
          <w:rFonts w:ascii="Arial" w:eastAsia="Arial" w:hAnsi="Arial" w:cs="Arial"/>
          <w:b/>
          <w:u w:val="single"/>
        </w:rPr>
      </w:pPr>
    </w:p>
    <w:p w14:paraId="27D0CB93" w14:textId="77777777" w:rsidR="00DE74F6" w:rsidRDefault="00DE74F6" w:rsidP="00DE74F6">
      <w:pPr>
        <w:shd w:val="clear" w:color="auto" w:fill="FFFFFF"/>
        <w:spacing w:after="0" w:line="240" w:lineRule="auto"/>
        <w:rPr>
          <w:rFonts w:ascii="Arial" w:eastAsia="Arial" w:hAnsi="Arial" w:cs="Arial"/>
          <w:color w:val="231F20"/>
        </w:rPr>
      </w:pPr>
      <w:r>
        <w:rPr>
          <w:rFonts w:ascii="Arial" w:eastAsia="Arial" w:hAnsi="Arial" w:cs="Arial"/>
        </w:rPr>
        <w:t xml:space="preserve">SJSU’s mission targets research as an institutional priority. In the last five years, SJSU has ramped up its commitment to research in order to build capacity for research within the institution. In particular, SJSU institutionalized a new program (Research, Scholarship and Creative Activity [RSCA] Assigned Time Program to decrease teaching loads to free up time for faculty to conduct research and integrate students into their research endeavors. </w:t>
      </w:r>
      <w:r>
        <w:rPr>
          <w:rFonts w:ascii="Arial" w:eastAsia="Arial" w:hAnsi="Arial" w:cs="Arial"/>
          <w:color w:val="231F20"/>
          <w:highlight w:val="white"/>
        </w:rPr>
        <w:t>All newly hired tenure and tenure track faculty now receive a reduction in their teaching load of one course per semester to further their research activities. Currently all probationary faculty have this reduction. Additionally, associate and full professors may apply for the same teaching load buyout for five years (renewable dependent on research productivity). Approximately 45% of all tenured faculty currently have this reduction in course load.</w:t>
      </w:r>
      <w:r>
        <w:rPr>
          <w:rFonts w:ascii="Arial" w:eastAsia="Arial" w:hAnsi="Arial" w:cs="Arial"/>
          <w:color w:val="231F20"/>
        </w:rPr>
        <w:t xml:space="preserve"> ASPIRE Faculty, who will be funded at 75% time for their first three years, would be supported through the RSCA Assigned Time Program in the final year (year 5) of the grant program. </w:t>
      </w:r>
    </w:p>
    <w:p w14:paraId="101E868B" w14:textId="77777777" w:rsidR="00DE74F6" w:rsidRDefault="00DE74F6" w:rsidP="00DE74F6">
      <w:pPr>
        <w:shd w:val="clear" w:color="auto" w:fill="FFFFFF"/>
        <w:spacing w:after="0" w:line="240" w:lineRule="auto"/>
        <w:rPr>
          <w:rFonts w:ascii="Arial" w:eastAsia="Arial" w:hAnsi="Arial" w:cs="Arial"/>
          <w:color w:val="231F20"/>
          <w:highlight w:val="white"/>
        </w:rPr>
      </w:pPr>
    </w:p>
    <w:p w14:paraId="7E1C488D" w14:textId="77777777" w:rsidR="00DE74F6" w:rsidRDefault="00DE74F6" w:rsidP="00DE74F6">
      <w:pPr>
        <w:shd w:val="clear" w:color="auto" w:fill="FFFFFF"/>
        <w:spacing w:after="0" w:line="240" w:lineRule="auto"/>
        <w:rPr>
          <w:rFonts w:ascii="Arial" w:eastAsia="Arial" w:hAnsi="Arial" w:cs="Arial"/>
          <w:color w:val="231F20"/>
          <w:highlight w:val="white"/>
        </w:rPr>
      </w:pPr>
      <w:r>
        <w:rPr>
          <w:rFonts w:ascii="Arial" w:eastAsia="Arial" w:hAnsi="Arial" w:cs="Arial"/>
          <w:color w:val="231F20"/>
          <w:highlight w:val="white"/>
        </w:rPr>
        <w:t xml:space="preserve">Faculty also have access to a robust network of university-level supports for research endeavors, beginning with the direction and vision of Dr. Mohamed </w:t>
      </w:r>
      <w:proofErr w:type="spellStart"/>
      <w:r>
        <w:rPr>
          <w:rFonts w:ascii="Arial" w:eastAsia="Arial" w:hAnsi="Arial" w:cs="Arial"/>
          <w:color w:val="231F20"/>
          <w:highlight w:val="white"/>
        </w:rPr>
        <w:t>Abousalem</w:t>
      </w:r>
      <w:proofErr w:type="spellEnd"/>
      <w:r>
        <w:rPr>
          <w:rFonts w:ascii="Arial" w:eastAsia="Arial" w:hAnsi="Arial" w:cs="Arial"/>
          <w:color w:val="231F20"/>
          <w:highlight w:val="white"/>
        </w:rPr>
        <w:t xml:space="preserve">, Vice President of Research and Innovation and the leadership of Dr. Richard </w:t>
      </w:r>
      <w:proofErr w:type="spellStart"/>
      <w:r>
        <w:rPr>
          <w:rFonts w:ascii="Arial" w:eastAsia="Arial" w:hAnsi="Arial" w:cs="Arial"/>
          <w:color w:val="231F20"/>
          <w:highlight w:val="white"/>
        </w:rPr>
        <w:t>Mocarski</w:t>
      </w:r>
      <w:proofErr w:type="spellEnd"/>
      <w:r>
        <w:rPr>
          <w:rFonts w:ascii="Arial" w:eastAsia="Arial" w:hAnsi="Arial" w:cs="Arial"/>
          <w:color w:val="231F20"/>
          <w:highlight w:val="white"/>
        </w:rPr>
        <w:t xml:space="preserve">, Vice President of Research. Hands-on support and encouragement are available through individual consultation, research trajectory planning, workshops, and other related activities from the SJSU Office of Research, the Research Development team, the Center for Faculty Development, the Director of Research Compliance, and the Director of Innovation. For example, the Office of Research provides support for faculty research through internal funding such as the SJSU Research Scholarship and Creative Activity (RSCA) Seed Grant program and the Level-Up Grant (designed to provide funding for preliminary research and set the stage for writing a competitive extramural grant proposal in three categories: individual investigator, multi-disciplinary team, and multi-institutional collaboration grants). The Office of Research also provides support for faculty (including release time, formal mentoring, and external feedback) to write an </w:t>
      </w:r>
      <w:r>
        <w:rPr>
          <w:rFonts w:ascii="Arial" w:eastAsia="Arial" w:hAnsi="Arial" w:cs="Arial"/>
          <w:color w:val="231F20"/>
          <w:highlight w:val="white"/>
        </w:rPr>
        <w:lastRenderedPageBreak/>
        <w:t xml:space="preserve">external grant proposal through the University Grants Academy (UGA). The Office of Research also provides funding opportunities for student research. </w:t>
      </w:r>
    </w:p>
    <w:p w14:paraId="1E18430F" w14:textId="77777777" w:rsidR="00DE74F6" w:rsidRDefault="00DE74F6" w:rsidP="00DE74F6">
      <w:pPr>
        <w:shd w:val="clear" w:color="auto" w:fill="FFFFFF"/>
        <w:spacing w:after="0" w:line="240" w:lineRule="auto"/>
        <w:rPr>
          <w:rFonts w:ascii="Arial" w:eastAsia="Arial" w:hAnsi="Arial" w:cs="Arial"/>
        </w:rPr>
      </w:pPr>
    </w:p>
    <w:p w14:paraId="23D1576A"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color w:val="000000"/>
        </w:rPr>
      </w:pPr>
      <w:r>
        <w:rPr>
          <w:rFonts w:ascii="Arial" w:eastAsia="Arial" w:hAnsi="Arial" w:cs="Arial"/>
          <w:color w:val="000000"/>
        </w:rPr>
        <w:t>Support for investigators is available through the SJSU Research Foundation, founded in 1932 and one of the oldest nonprofit corporations in the California State University system. A 501(c)(3) non-profit corporation, the SJSU Research Foundation provides an entrepreneurial management structure through which the campus carries out essential and specialized research activities not normally supported by the state budget. The SJSU Research Foundation provides a comprehensive business infrastructure and professional services that make it possible for our faculty to focus more on research and project deliverables, and less on administrative details.  The Research Foundation employs nearly 1,000 staff and has annual revenues of nearly $60 million. This federal, state, and private funding supports SJSU's expanding research enterprise, placing San José State among the top 200 universities in the country for total R&amp;D expenditures.</w:t>
      </w:r>
    </w:p>
    <w:p w14:paraId="3113437E"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rPr>
      </w:pPr>
    </w:p>
    <w:p w14:paraId="4B110546"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rPr>
      </w:pPr>
      <w:r>
        <w:rPr>
          <w:rFonts w:ascii="Arial" w:eastAsia="Arial" w:hAnsi="Arial" w:cs="Arial"/>
        </w:rPr>
        <w:t xml:space="preserve">SJSU is part of the 23 campus California State University (CSU) system, </w:t>
      </w:r>
      <w:r>
        <w:rPr>
          <w:rFonts w:ascii="Arial" w:eastAsia="Arial" w:hAnsi="Arial" w:cs="Arial"/>
          <w:color w:val="231F20"/>
        </w:rPr>
        <w:t xml:space="preserve">the nation’s largest 4-year university system, and receives additional support for research endeavors from the CSU Chancellor’s Office Research Department. The Chancellor’s Office Research Department runs 10 multi-campus affinity groups, on topics such as human health, social sciences, agriculture, and biotechnology. These groups promote collaboration among faculty and student researchers throughout the CSU system. The Research Department also offers a variety of grant-getting services including </w:t>
      </w:r>
      <w:r>
        <w:rPr>
          <w:rFonts w:ascii="Arial" w:eastAsia="Arial" w:hAnsi="Arial" w:cs="Arial"/>
          <w:color w:val="1A1A1A"/>
          <w:sz w:val="21"/>
          <w:szCs w:val="21"/>
          <w:highlight w:val="white"/>
        </w:rPr>
        <w:t>mentoring faculty in writing competitive proposals; workshops on grant writing topics, as well as working to streamline research data and helping to establish funding partnerships between CSU and the UC systems.</w:t>
      </w:r>
    </w:p>
    <w:p w14:paraId="670439BA"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color w:val="000000"/>
        </w:rPr>
      </w:pPr>
    </w:p>
    <w:p w14:paraId="2EF2CD5F"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color w:val="222222"/>
        </w:rPr>
      </w:pPr>
    </w:p>
    <w:p w14:paraId="33BD7520"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b/>
          <w:color w:val="000000"/>
          <w:u w:val="single"/>
        </w:rPr>
      </w:pPr>
      <w:r>
        <w:rPr>
          <w:rFonts w:ascii="Arial" w:eastAsia="Arial" w:hAnsi="Arial" w:cs="Arial"/>
          <w:b/>
          <w:color w:val="000000"/>
          <w:u w:val="single"/>
        </w:rPr>
        <w:t>The College of Health and Human Sciences (CHHS), College of Social Sciences, and College of Science</w:t>
      </w:r>
    </w:p>
    <w:p w14:paraId="06432EA3"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color w:val="000000"/>
        </w:rPr>
      </w:pPr>
    </w:p>
    <w:p w14:paraId="5A60C6CE" w14:textId="77777777" w:rsidR="00DE74F6" w:rsidRDefault="00DE74F6" w:rsidP="00DE74F6">
      <w:pPr>
        <w:spacing w:after="0" w:line="240" w:lineRule="auto"/>
        <w:rPr>
          <w:rFonts w:ascii="Arial" w:eastAsia="Arial" w:hAnsi="Arial" w:cs="Arial"/>
          <w:color w:val="000000"/>
        </w:rPr>
      </w:pPr>
      <w:r>
        <w:rPr>
          <w:rFonts w:ascii="Arial" w:eastAsia="Arial" w:hAnsi="Arial" w:cs="Arial"/>
        </w:rPr>
        <w:t xml:space="preserve">We envision one certain home for ASPIRE hires, the College of Health and Human Services (CHHS), and two other probable homes for ASPIRE hires, the College of Science (Department of Biological Sciences) and the College of Social Sciences (Departments of Psychology or Sociology). See information about the three colleges below. The exact home of the ASPIRE hires will be determined at a later date and will carefully consider the appropriate fit of the top candidates. </w:t>
      </w:r>
    </w:p>
    <w:p w14:paraId="4DB7B164" w14:textId="77777777" w:rsidR="00DE74F6" w:rsidRDefault="00DE74F6" w:rsidP="00DE74F6">
      <w:pPr>
        <w:spacing w:after="0" w:line="240" w:lineRule="auto"/>
        <w:rPr>
          <w:rFonts w:ascii="Arial" w:eastAsia="Arial" w:hAnsi="Arial" w:cs="Arial"/>
        </w:rPr>
      </w:pPr>
    </w:p>
    <w:p w14:paraId="1B1D1A07" w14:textId="77777777" w:rsidR="00DE74F6" w:rsidRDefault="00DE74F6" w:rsidP="00DE74F6">
      <w:pPr>
        <w:spacing w:after="0" w:line="240" w:lineRule="auto"/>
        <w:rPr>
          <w:rFonts w:ascii="Arial" w:eastAsia="Arial" w:hAnsi="Arial" w:cs="Arial"/>
        </w:rPr>
      </w:pPr>
      <w:r>
        <w:rPr>
          <w:rFonts w:ascii="Arial" w:eastAsia="Arial" w:hAnsi="Arial" w:cs="Arial"/>
        </w:rPr>
        <w:t xml:space="preserve">The </w:t>
      </w:r>
      <w:r>
        <w:rPr>
          <w:rFonts w:ascii="Arial" w:eastAsia="Arial" w:hAnsi="Arial" w:cs="Arial"/>
          <w:b/>
        </w:rPr>
        <w:t>College of Health and Human Sciences (CHHS)</w:t>
      </w:r>
      <w:r>
        <w:rPr>
          <w:rFonts w:ascii="Arial" w:eastAsia="Arial" w:hAnsi="Arial" w:cs="Arial"/>
        </w:rPr>
        <w:t xml:space="preserve"> houses two schools and five departments, offering </w:t>
      </w:r>
      <w:proofErr w:type="gramStart"/>
      <w:r>
        <w:rPr>
          <w:rFonts w:ascii="Arial" w:eastAsia="Arial" w:hAnsi="Arial" w:cs="Arial"/>
        </w:rPr>
        <w:t>22 degree</w:t>
      </w:r>
      <w:proofErr w:type="gramEnd"/>
      <w:r>
        <w:rPr>
          <w:rFonts w:ascii="Arial" w:eastAsia="Arial" w:hAnsi="Arial" w:cs="Arial"/>
        </w:rPr>
        <w:t xml:space="preserve"> programs. The mission of the College of Health and Human Sciences is to advance health and well-being for all, through preparing effective practitioners, developing transformational leaders, and generating and translating impactful knowledge. This mission is realized through four pillars, that also reflect the values and priorities of the departments and schools in CHHS: 1) promoting health equity and social justice; 2) building capacity for interprofessional and collaborative practice and research (across settings and disciplines); 3) generating and applying health technology and innovation; and 4) building community capacity and wellness through community engagement and partnerships. CHHS integrates a focus on diversity, equity and inclusion in realizing this mission, informed by the work of the CHHS Committee to Enhance Equity and Diversity (CEED), and the SJSU Office of Equity and Inclusion (ODEI). Graduates become leaders and establish professional careers as practitioners, administrators, educators, and applied researchers in a variety of discipline-related settings. These settings include both private and public agencies, government institutions at all levels, community and health care organizations, and educational institutions.</w:t>
      </w:r>
    </w:p>
    <w:p w14:paraId="467C4A12" w14:textId="77777777" w:rsidR="00DE74F6" w:rsidRDefault="00DE74F6" w:rsidP="00DE74F6">
      <w:pPr>
        <w:spacing w:after="0" w:line="240" w:lineRule="auto"/>
        <w:rPr>
          <w:rFonts w:ascii="Arial" w:eastAsia="Arial" w:hAnsi="Arial" w:cs="Arial"/>
        </w:rPr>
      </w:pPr>
    </w:p>
    <w:p w14:paraId="293271FA" w14:textId="77777777" w:rsidR="00DE74F6" w:rsidRDefault="00DE74F6" w:rsidP="00DE74F6">
      <w:pPr>
        <w:spacing w:after="0" w:line="240" w:lineRule="auto"/>
        <w:rPr>
          <w:rFonts w:ascii="Arial" w:eastAsia="Arial" w:hAnsi="Arial" w:cs="Arial"/>
        </w:rPr>
      </w:pPr>
      <w:r>
        <w:rPr>
          <w:rFonts w:ascii="Arial" w:eastAsia="Arial" w:hAnsi="Arial" w:cs="Arial"/>
        </w:rPr>
        <w:t xml:space="preserve">The intellectual environment in the CHHS will contribute to the success of the proposal. SJSU’s CHHS provides strong support of research with faculty experienced in attaining health and social scientific external funding. The Associate Dean for Research and Faculty provides mentorship and support to strengthen interdisciplinary research and ensure faculty success for all tenure-track faculty in the college. In addition, the college hosts and co-hosts special opportunities for methodological skill development, research dissemination, and cross-fertilization of ideas. For example, the </w:t>
      </w:r>
      <w:r>
        <w:rPr>
          <w:rFonts w:ascii="Arial" w:eastAsia="Arial" w:hAnsi="Arial" w:cs="Arial"/>
          <w:b/>
        </w:rPr>
        <w:t>Center for Applied Research on Human Services</w:t>
      </w:r>
      <w:r>
        <w:rPr>
          <w:rFonts w:ascii="Arial" w:eastAsia="Arial" w:hAnsi="Arial" w:cs="Arial"/>
        </w:rPr>
        <w:t xml:space="preserve"> organizes seminars for the exchange of ideas and for training on methodological skills. Cross-college research presentations related to health equity and other emerging research topics are sponsored each semester through the Office of Research, which also provides opportunities for faculty to exchange ideas and engage colleagues in new research collaborations across disciplines. Events at SJSU will be available to all ASPIRE Faculty (across institutions) and will provide an opportunity for networking between other health equity researchers at SJSU and Stanford</w:t>
      </w:r>
    </w:p>
    <w:p w14:paraId="0F4B4AB5" w14:textId="77777777" w:rsidR="00DE74F6" w:rsidRDefault="00DE74F6" w:rsidP="00DE74F6">
      <w:pPr>
        <w:spacing w:after="0" w:line="240" w:lineRule="auto"/>
        <w:rPr>
          <w:rFonts w:ascii="Arial" w:eastAsia="Arial" w:hAnsi="Arial" w:cs="Arial"/>
          <w:color w:val="000000"/>
        </w:rPr>
      </w:pPr>
    </w:p>
    <w:p w14:paraId="567DAEC9" w14:textId="77777777" w:rsidR="00DE74F6" w:rsidRDefault="00DE74F6" w:rsidP="00DE74F6">
      <w:pPr>
        <w:spacing w:after="0" w:line="240" w:lineRule="auto"/>
        <w:rPr>
          <w:rFonts w:ascii="Arial" w:eastAsia="Arial" w:hAnsi="Arial" w:cs="Arial"/>
          <w:color w:val="000000"/>
        </w:rPr>
      </w:pPr>
      <w:r>
        <w:rPr>
          <w:rFonts w:ascii="Arial" w:eastAsia="Arial" w:hAnsi="Arial" w:cs="Arial"/>
          <w:color w:val="000000"/>
        </w:rPr>
        <w:t xml:space="preserve">We anticipate recruiting two ASPIRE </w:t>
      </w:r>
      <w:r>
        <w:rPr>
          <w:rFonts w:ascii="Arial" w:eastAsia="Arial" w:hAnsi="Arial" w:cs="Arial"/>
        </w:rPr>
        <w:t>faculty who</w:t>
      </w:r>
      <w:r>
        <w:rPr>
          <w:rFonts w:ascii="Arial" w:eastAsia="Arial" w:hAnsi="Arial" w:cs="Arial"/>
          <w:color w:val="000000"/>
        </w:rPr>
        <w:t xml:space="preserve"> will respectively be housed in the CHHS Department of Public Health and Recreation (PHR) and The Valley Foundation School of Nursing. </w:t>
      </w:r>
      <w:r>
        <w:rPr>
          <w:rFonts w:ascii="Arial" w:eastAsia="Arial" w:hAnsi="Arial" w:cs="Arial"/>
          <w:b/>
          <w:color w:val="000000"/>
        </w:rPr>
        <w:t>The Department of Public Health and Recreation</w:t>
      </w:r>
      <w:r>
        <w:rPr>
          <w:rFonts w:ascii="Arial" w:eastAsia="Arial" w:hAnsi="Arial" w:cs="Arial"/>
          <w:color w:val="000000"/>
        </w:rPr>
        <w:t xml:space="preserve"> offers a Master of Public Health (MPH), undergraduate in Public Health, and undergraduate Recreation degrees.</w:t>
      </w:r>
      <w:r>
        <w:rPr>
          <w:rFonts w:ascii="Arial" w:eastAsia="Arial" w:hAnsi="Arial" w:cs="Arial"/>
        </w:rPr>
        <w:t xml:space="preserve"> </w:t>
      </w:r>
      <w:r>
        <w:rPr>
          <w:rFonts w:ascii="Arial" w:eastAsia="Arial" w:hAnsi="Arial" w:cs="Arial"/>
          <w:color w:val="000000"/>
        </w:rPr>
        <w:t xml:space="preserve">Faculty scholarship, and the curriculum, emphasize community development, social justice, and interdisciplinary approaches.  </w:t>
      </w:r>
      <w:r>
        <w:rPr>
          <w:rFonts w:ascii="Arial" w:eastAsia="Arial" w:hAnsi="Arial" w:cs="Arial"/>
          <w:b/>
          <w:color w:val="000000"/>
        </w:rPr>
        <w:t>The Valley Foundation School of Nursing</w:t>
      </w:r>
      <w:r>
        <w:rPr>
          <w:rFonts w:ascii="Arial" w:eastAsia="Arial" w:hAnsi="Arial" w:cs="Arial"/>
          <w:color w:val="000000"/>
        </w:rPr>
        <w:t xml:space="preserve"> offers three degrees for students seeking a career in nursing. </w:t>
      </w:r>
      <w:r>
        <w:rPr>
          <w:rFonts w:ascii="Arial" w:eastAsia="Arial" w:hAnsi="Arial" w:cs="Arial"/>
          <w:color w:val="222222"/>
        </w:rPr>
        <w:t xml:space="preserve">Programs include the Baccalaureate degree for pre-licensed and RN to BSN students, Master of Science degree with Nurse Educator and Family Nurse Practitioner concentrations, and Doctor of Nursing Practice (DNP). The School of Nursing provides a rich environment for faculty interested in research related to evidence-based </w:t>
      </w:r>
      <w:r>
        <w:rPr>
          <w:rFonts w:ascii="Arial" w:eastAsia="Arial" w:hAnsi="Arial" w:cs="Arial"/>
          <w:color w:val="000000"/>
        </w:rPr>
        <w:t xml:space="preserve">practice in diverse health settings, including hospitals, clinicals, and community health settings such as public health, home health, and schools. </w:t>
      </w:r>
    </w:p>
    <w:p w14:paraId="2EA7353B" w14:textId="77777777" w:rsidR="00DE74F6" w:rsidRDefault="00DE74F6" w:rsidP="00DE74F6">
      <w:pPr>
        <w:spacing w:after="0" w:line="240" w:lineRule="auto"/>
        <w:rPr>
          <w:rFonts w:ascii="Arial" w:eastAsia="Arial" w:hAnsi="Arial" w:cs="Arial"/>
        </w:rPr>
      </w:pPr>
    </w:p>
    <w:p w14:paraId="5FB1D499" w14:textId="77777777" w:rsidR="00DE74F6" w:rsidRDefault="00DE74F6" w:rsidP="00DE74F6">
      <w:pPr>
        <w:spacing w:after="0" w:line="240" w:lineRule="auto"/>
        <w:rPr>
          <w:rFonts w:ascii="Arial" w:eastAsia="Arial" w:hAnsi="Arial" w:cs="Arial"/>
        </w:rPr>
      </w:pPr>
      <w:r>
        <w:rPr>
          <w:rFonts w:ascii="Arial" w:eastAsia="Arial" w:hAnsi="Arial" w:cs="Arial"/>
        </w:rPr>
        <w:t xml:space="preserve">A third ASPIRE faculty member will be housed in the College of Social Sciences or the College of Science, depending on their primary discipline. </w:t>
      </w:r>
    </w:p>
    <w:p w14:paraId="2A44A384" w14:textId="77777777" w:rsidR="00846883" w:rsidRDefault="00846883" w:rsidP="00DE74F6">
      <w:pPr>
        <w:pBdr>
          <w:top w:val="nil"/>
          <w:left w:val="nil"/>
          <w:bottom w:val="nil"/>
          <w:right w:val="nil"/>
          <w:between w:val="nil"/>
        </w:pBdr>
        <w:shd w:val="clear" w:color="auto" w:fill="FFFFFF"/>
        <w:spacing w:after="0" w:line="240" w:lineRule="auto"/>
        <w:rPr>
          <w:rFonts w:ascii="Arial" w:eastAsia="Arial" w:hAnsi="Arial" w:cs="Arial"/>
          <w:b/>
          <w:color w:val="000000"/>
          <w:u w:val="single"/>
        </w:rPr>
      </w:pPr>
    </w:p>
    <w:p w14:paraId="14081DBA" w14:textId="26B28929"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b/>
          <w:color w:val="000000"/>
          <w:u w:val="single"/>
        </w:rPr>
      </w:pPr>
      <w:r>
        <w:rPr>
          <w:rFonts w:ascii="Arial" w:eastAsia="Arial" w:hAnsi="Arial" w:cs="Arial"/>
          <w:b/>
          <w:color w:val="000000"/>
          <w:u w:val="single"/>
        </w:rPr>
        <w:t>Other Resources</w:t>
      </w:r>
    </w:p>
    <w:p w14:paraId="166928DD" w14:textId="77777777" w:rsidR="00DE74F6" w:rsidRDefault="00DE74F6" w:rsidP="00DE74F6">
      <w:pPr>
        <w:pBdr>
          <w:top w:val="nil"/>
          <w:left w:val="nil"/>
          <w:bottom w:val="nil"/>
          <w:right w:val="nil"/>
          <w:between w:val="nil"/>
        </w:pBdr>
        <w:shd w:val="clear" w:color="auto" w:fill="FFFFFF"/>
        <w:spacing w:after="0" w:line="240" w:lineRule="auto"/>
        <w:rPr>
          <w:rFonts w:ascii="Arial" w:eastAsia="Arial" w:hAnsi="Arial" w:cs="Arial"/>
          <w:b/>
          <w:color w:val="000000"/>
          <w:u w:val="single"/>
        </w:rPr>
      </w:pPr>
    </w:p>
    <w:p w14:paraId="5B5153EA"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Offices</w:t>
      </w:r>
    </w:p>
    <w:p w14:paraId="5A0D2999" w14:textId="7C353714" w:rsidR="00DE74F6" w:rsidRDefault="00DE74F6" w:rsidP="00DE74F6">
      <w:pPr>
        <w:spacing w:after="0" w:line="240" w:lineRule="auto"/>
        <w:rPr>
          <w:rFonts w:ascii="Arial" w:eastAsia="Arial" w:hAnsi="Arial" w:cs="Arial"/>
        </w:rPr>
      </w:pPr>
      <w:bookmarkStart w:id="0" w:name="_heading=h.gjdgxs" w:colFirst="0" w:colLast="0"/>
      <w:bookmarkEnd w:id="0"/>
      <w:r>
        <w:rPr>
          <w:rFonts w:ascii="Arial" w:eastAsia="Arial" w:hAnsi="Arial" w:cs="Arial"/>
        </w:rPr>
        <w:t xml:space="preserve">All faculty and staff have offices at SJSU. Offices and conference rooms are available to support research activities including team meetings, data analysis, and workshops. </w:t>
      </w:r>
    </w:p>
    <w:p w14:paraId="4601BA82" w14:textId="77777777" w:rsidR="00DE74F6" w:rsidRDefault="00DE74F6" w:rsidP="00DE74F6">
      <w:pPr>
        <w:spacing w:after="0" w:line="240" w:lineRule="auto"/>
        <w:rPr>
          <w:rFonts w:ascii="Arial" w:eastAsia="Arial" w:hAnsi="Arial" w:cs="Arial"/>
          <w:b/>
          <w:u w:val="single"/>
        </w:rPr>
      </w:pPr>
    </w:p>
    <w:p w14:paraId="4B5CE498"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Computer</w:t>
      </w:r>
    </w:p>
    <w:p w14:paraId="45BA6D1E" w14:textId="77777777" w:rsidR="00DE74F6" w:rsidRDefault="00DE74F6" w:rsidP="00DE74F6">
      <w:pPr>
        <w:spacing w:after="0" w:line="240" w:lineRule="auto"/>
        <w:rPr>
          <w:rFonts w:ascii="Arial" w:eastAsia="Arial" w:hAnsi="Arial" w:cs="Arial"/>
        </w:rPr>
      </w:pPr>
      <w:r>
        <w:rPr>
          <w:rFonts w:ascii="Arial" w:eastAsia="Arial" w:hAnsi="Arial" w:cs="Arial"/>
        </w:rPr>
        <w:t xml:space="preserve">SJSU provides computer equipment for all faculty. SJSU desktop PC’s and laptops will be used for project administration and data analysis. All computers are equipped with the programs necessary for data storage and analysis including NVivo, SPSS, and AMOS. </w:t>
      </w:r>
    </w:p>
    <w:p w14:paraId="1BF8DFD5" w14:textId="77777777" w:rsidR="00DE74F6" w:rsidRDefault="00DE74F6" w:rsidP="00DE74F6">
      <w:pPr>
        <w:spacing w:after="0" w:line="240" w:lineRule="auto"/>
        <w:rPr>
          <w:rFonts w:ascii="Arial" w:eastAsia="Arial" w:hAnsi="Arial" w:cs="Arial"/>
        </w:rPr>
      </w:pPr>
    </w:p>
    <w:p w14:paraId="35AFB03E"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Communications and Technical Support</w:t>
      </w:r>
    </w:p>
    <w:p w14:paraId="30090767" w14:textId="72CB72F9" w:rsidR="00DE74F6" w:rsidRDefault="00DE74F6" w:rsidP="00DE74F6">
      <w:pPr>
        <w:spacing w:after="0" w:line="240" w:lineRule="auto"/>
        <w:rPr>
          <w:rFonts w:ascii="Arial" w:eastAsia="Arial" w:hAnsi="Arial" w:cs="Arial"/>
        </w:rPr>
      </w:pPr>
      <w:r>
        <w:rPr>
          <w:rFonts w:ascii="Arial" w:eastAsia="Arial" w:hAnsi="Arial" w:cs="Arial"/>
        </w:rPr>
        <w:t xml:space="preserve">SJSU provides access to technology that is available for all faculty and may be employed in support of research projects including options for communication and project coordination using technology such as Google Drive and Zoom. The University provides Ethernet connections and access to wireless internet for faculty and staff. Technological support is available through Academic Technology and through the College of Health and Human Sciences. </w:t>
      </w:r>
      <w:r w:rsidR="00846883">
        <w:rPr>
          <w:rFonts w:ascii="Arial" w:eastAsia="Arial" w:hAnsi="Arial" w:cs="Arial"/>
        </w:rPr>
        <w:t>College and Department/School offices al</w:t>
      </w:r>
      <w:r>
        <w:rPr>
          <w:rFonts w:ascii="Arial" w:eastAsia="Arial" w:hAnsi="Arial" w:cs="Arial"/>
        </w:rPr>
        <w:t>l maintain office telephones and equipment for printing, scanning, and faxing.</w:t>
      </w:r>
    </w:p>
    <w:p w14:paraId="656DBBD4" w14:textId="77777777" w:rsidR="00DE74F6" w:rsidRDefault="00DE74F6" w:rsidP="00DE74F6">
      <w:pPr>
        <w:spacing w:after="0" w:line="240" w:lineRule="auto"/>
        <w:rPr>
          <w:rFonts w:ascii="Arial" w:eastAsia="Arial" w:hAnsi="Arial" w:cs="Arial"/>
        </w:rPr>
      </w:pPr>
    </w:p>
    <w:p w14:paraId="3DCBA3CF"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Library Resources</w:t>
      </w:r>
    </w:p>
    <w:p w14:paraId="48581656" w14:textId="77777777" w:rsidR="00DE74F6" w:rsidRDefault="00DE74F6" w:rsidP="00DE74F6">
      <w:pPr>
        <w:spacing w:after="0" w:line="240" w:lineRule="auto"/>
        <w:rPr>
          <w:rFonts w:ascii="Arial" w:eastAsia="Arial" w:hAnsi="Arial" w:cs="Arial"/>
        </w:rPr>
      </w:pPr>
      <w:r>
        <w:rPr>
          <w:rFonts w:ascii="Arial" w:eastAsia="Arial" w:hAnsi="Arial" w:cs="Arial"/>
        </w:rPr>
        <w:t>The Dr. Martin Luther King, Jr. Library is a large, state-of-the-art academic library jointly run with the San José Public Library. This collaborative library has earned national accolades for providing enhanced services and a welcoming environment for both the academic and the local community. The King Library holds 1.5 million books and monographs. The collection is supported by 24-hour access to online electronic journal resources, over five million books and worldwide resources through Interlibrary Loan Internet Access Database. In addition to providing a diverse and accessible collection of journals and books, the King Library affords substantial support for faculty and students. Library staff provides research-oriented assistance through departmental assigned reference librarians and offers a variety of research support tools and services.</w:t>
      </w:r>
    </w:p>
    <w:p w14:paraId="765DCEC9" w14:textId="77777777" w:rsidR="00DE74F6" w:rsidRDefault="00DE74F6" w:rsidP="00DE74F6">
      <w:pPr>
        <w:spacing w:after="0" w:line="240" w:lineRule="auto"/>
        <w:rPr>
          <w:rFonts w:ascii="Arial" w:eastAsia="Arial" w:hAnsi="Arial" w:cs="Arial"/>
        </w:rPr>
      </w:pPr>
    </w:p>
    <w:p w14:paraId="1BC329C8" w14:textId="77777777" w:rsidR="00DE74F6" w:rsidRDefault="00DE74F6" w:rsidP="00DE74F6">
      <w:pPr>
        <w:spacing w:after="0" w:line="240" w:lineRule="auto"/>
        <w:rPr>
          <w:rFonts w:ascii="Arial" w:eastAsia="Arial" w:hAnsi="Arial" w:cs="Arial"/>
          <w:b/>
          <w:u w:val="single"/>
        </w:rPr>
      </w:pPr>
      <w:r>
        <w:rPr>
          <w:rFonts w:ascii="Arial" w:eastAsia="Arial" w:hAnsi="Arial" w:cs="Arial"/>
          <w:b/>
          <w:u w:val="single"/>
        </w:rPr>
        <w:t>Support for Student Research, Student Success, and Community Engagement at SJSU</w:t>
      </w:r>
    </w:p>
    <w:p w14:paraId="2926A01F" w14:textId="77777777" w:rsidR="00DE74F6" w:rsidRDefault="00DE74F6" w:rsidP="00DE74F6">
      <w:pPr>
        <w:spacing w:after="0" w:line="240" w:lineRule="auto"/>
        <w:rPr>
          <w:rFonts w:ascii="Arial" w:eastAsia="Arial" w:hAnsi="Arial" w:cs="Arial"/>
        </w:rPr>
      </w:pPr>
      <w:proofErr w:type="spellStart"/>
      <w:r w:rsidRPr="002C3277">
        <w:rPr>
          <w:rFonts w:ascii="Arial" w:eastAsia="Arial" w:hAnsi="Arial" w:cs="Arial"/>
          <w:b/>
          <w:bCs/>
        </w:rPr>
        <w:t>CommUniverCity</w:t>
      </w:r>
      <w:proofErr w:type="spellEnd"/>
      <w:r>
        <w:rPr>
          <w:rFonts w:ascii="Arial" w:eastAsia="Arial" w:hAnsi="Arial" w:cs="Arial"/>
        </w:rPr>
        <w:t xml:space="preserve"> San José is a unique community-university-city partnership that engages local residents, faculty and students at SJSU in learning projects that accomplish neighborhood defined goals, focusing on low-and moderate-income communities near SJSU. The </w:t>
      </w:r>
      <w:r>
        <w:rPr>
          <w:rFonts w:ascii="Arial" w:eastAsia="Arial" w:hAnsi="Arial" w:cs="Arial"/>
          <w:b/>
        </w:rPr>
        <w:t>Chicanx/Latinx Student Success Center (“Centro”)</w:t>
      </w:r>
      <w:r>
        <w:rPr>
          <w:rFonts w:ascii="Arial" w:eastAsia="Arial" w:hAnsi="Arial" w:cs="Arial"/>
        </w:rPr>
        <w:t xml:space="preserve"> also provides a community gathering space as well as programs and services to support the success of all Chicanx and Latinx students at SJSU. SJSU students have opportunities to work with faculty on externally and internally funded research projects. In addition, students may apply to receive additional support through the </w:t>
      </w:r>
      <w:r>
        <w:rPr>
          <w:rFonts w:ascii="Arial" w:eastAsia="Arial" w:hAnsi="Arial" w:cs="Arial"/>
          <w:b/>
        </w:rPr>
        <w:t>Student Research, Scholarship, and Creative Activity (RSCA) Grant Initiative</w:t>
      </w:r>
      <w:r>
        <w:rPr>
          <w:rFonts w:ascii="Arial" w:eastAsia="Arial" w:hAnsi="Arial" w:cs="Arial"/>
        </w:rPr>
        <w:t xml:space="preserve">, which provides up to $3,500 for students collaborating with SJSU faculty on funded grants. There are also multiple opportunities for students to engage in collaborative work with communities. The </w:t>
      </w:r>
      <w:r>
        <w:rPr>
          <w:rFonts w:ascii="Arial" w:eastAsia="Arial" w:hAnsi="Arial" w:cs="Arial"/>
          <w:b/>
        </w:rPr>
        <w:t>César E. Chávez Community Action Center (CCCAC)</w:t>
      </w:r>
      <w:r>
        <w:rPr>
          <w:rFonts w:ascii="Arial" w:eastAsia="Arial" w:hAnsi="Arial" w:cs="Arial"/>
        </w:rPr>
        <w:t xml:space="preserve"> connects SJSU students with civic engagement opportunities that </w:t>
      </w:r>
      <w:r>
        <w:rPr>
          <w:rFonts w:ascii="Arial" w:eastAsia="Arial" w:hAnsi="Arial" w:cs="Arial"/>
        </w:rPr>
        <w:lastRenderedPageBreak/>
        <w:t>deepen educational experience while promoting a lifelong commitment to activism and social justice, which are at the heart of the César Chávez legacy.</w:t>
      </w:r>
      <w:r w:rsidRPr="002C3277">
        <w:rPr>
          <w:rFonts w:ascii="Arial" w:eastAsia="Arial" w:hAnsi="Arial" w:cs="Arial"/>
          <w:b/>
          <w:bCs/>
        </w:rPr>
        <w:t xml:space="preserve"> </w:t>
      </w:r>
    </w:p>
    <w:p w14:paraId="50E53C6E" w14:textId="7FC8FA58" w:rsidR="0079741F" w:rsidRDefault="0079741F"/>
    <w:p w14:paraId="5C3907A4" w14:textId="12E6FA38" w:rsidR="00846883" w:rsidRDefault="00846883"/>
    <w:p w14:paraId="4219EF70" w14:textId="7E5681C5" w:rsidR="003F72F1" w:rsidRDefault="003F72F1">
      <w:pPr>
        <w:spacing w:after="160" w:line="259" w:lineRule="auto"/>
      </w:pPr>
      <w:r>
        <w:br w:type="page"/>
      </w:r>
    </w:p>
    <w:p w14:paraId="57BD6C49" w14:textId="77777777" w:rsidR="00846883" w:rsidRDefault="00846883"/>
    <w:p w14:paraId="3A1C328F" w14:textId="26292AC1" w:rsidR="00846883" w:rsidRPr="003F72F1" w:rsidRDefault="00846883">
      <w:pPr>
        <w:rPr>
          <w:u w:val="single"/>
        </w:rPr>
      </w:pPr>
      <w:r w:rsidRPr="003F72F1">
        <w:rPr>
          <w:u w:val="single"/>
        </w:rPr>
        <w:t>OPTIONAL NARRATIVE SEGMENTS DEPENDING ON THE FUNDING SOURCE</w:t>
      </w:r>
    </w:p>
    <w:p w14:paraId="57EB071F" w14:textId="77777777" w:rsidR="00846883" w:rsidRDefault="00846883" w:rsidP="00846883">
      <w:pPr>
        <w:shd w:val="clear" w:color="auto" w:fill="FFFFFF"/>
        <w:spacing w:after="0" w:line="240" w:lineRule="auto"/>
        <w:ind w:right="220"/>
        <w:jc w:val="both"/>
        <w:rPr>
          <w:rFonts w:ascii="Arial" w:eastAsia="Arial" w:hAnsi="Arial" w:cs="Arial"/>
          <w:highlight w:val="white"/>
        </w:rPr>
      </w:pPr>
      <w:r>
        <w:rPr>
          <w:rFonts w:ascii="Arial" w:eastAsia="Arial" w:hAnsi="Arial" w:cs="Arial"/>
        </w:rPr>
        <w:t>SJSU is a model public comprehensive university, recognized for both research and preparation of students for effective practice in the local health and human services workforce. Although we place a high value on research, SJSU is a Limited-</w:t>
      </w:r>
      <w:r w:rsidRPr="005C60A3">
        <w:rPr>
          <w:rFonts w:ascii="Arial" w:eastAsia="Arial" w:hAnsi="Arial" w:cs="Arial"/>
        </w:rPr>
        <w:t>Resource I</w:t>
      </w:r>
      <w:r>
        <w:rPr>
          <w:rFonts w:ascii="Arial" w:eastAsia="Arial" w:hAnsi="Arial" w:cs="Arial"/>
        </w:rPr>
        <w:t xml:space="preserve">nstitution compared to major academic research institutions in the United States.  Currently, the institution brings in less than a total of $6 million per year (in both direct and F&amp;A/indirect costs) in support from the NIH.  However, SJSU is highly committed to growing its research infrastructure. “Expanding the base of knowledge through research and scholarship” is a component of the mission statement. </w:t>
      </w:r>
    </w:p>
    <w:p w14:paraId="1459E676" w14:textId="3D147966" w:rsidR="00846883" w:rsidRDefault="00846883"/>
    <w:p w14:paraId="558203F6" w14:textId="3F9D0FFC" w:rsidR="003F72F1" w:rsidRDefault="00D17831">
      <w:r>
        <w:t>*** For grants requiring information about students</w:t>
      </w:r>
    </w:p>
    <w:p w14:paraId="24D64537" w14:textId="77777777" w:rsidR="003F72F1" w:rsidRPr="0088026C" w:rsidRDefault="003F72F1" w:rsidP="003F72F1">
      <w:pPr>
        <w:pStyle w:val="Heading2"/>
      </w:pPr>
      <w:r w:rsidRPr="0088026C">
        <w:t>Retention</w:t>
      </w:r>
      <w:r>
        <w:t xml:space="preserve"> of URM Students at SJSU</w:t>
      </w:r>
    </w:p>
    <w:p w14:paraId="4B2A0B5F" w14:textId="1C30270B" w:rsidR="003F72F1" w:rsidRPr="003F72F1" w:rsidRDefault="003F72F1" w:rsidP="003F72F1">
      <w:pPr>
        <w:rPr>
          <w:rFonts w:ascii="Arial" w:hAnsi="Arial" w:cs="Arial"/>
        </w:rPr>
      </w:pPr>
      <w:r w:rsidRPr="003F72F1">
        <w:rPr>
          <w:rFonts w:ascii="Arial" w:hAnsi="Arial" w:cs="Arial"/>
        </w:rPr>
        <w:t>San José State University is committed to</w:t>
      </w:r>
      <w:r w:rsidRPr="003F72F1">
        <w:rPr>
          <w:rFonts w:ascii="Arial" w:hAnsi="Arial" w:cs="Arial"/>
          <w:spacing w:val="-5"/>
        </w:rPr>
        <w:t xml:space="preserve"> </w:t>
      </w:r>
      <w:r w:rsidRPr="003F72F1">
        <w:rPr>
          <w:rFonts w:ascii="Arial" w:hAnsi="Arial" w:cs="Arial"/>
        </w:rPr>
        <w:t>increasing</w:t>
      </w:r>
      <w:r w:rsidRPr="003F72F1">
        <w:rPr>
          <w:rFonts w:ascii="Arial" w:hAnsi="Arial" w:cs="Arial"/>
          <w:spacing w:val="-4"/>
        </w:rPr>
        <w:t xml:space="preserve"> </w:t>
      </w:r>
      <w:r w:rsidRPr="003F72F1">
        <w:rPr>
          <w:rFonts w:ascii="Arial" w:hAnsi="Arial" w:cs="Arial"/>
        </w:rPr>
        <w:t>retention</w:t>
      </w:r>
      <w:r w:rsidRPr="003F72F1">
        <w:rPr>
          <w:rFonts w:ascii="Arial" w:hAnsi="Arial" w:cs="Arial"/>
          <w:spacing w:val="-5"/>
        </w:rPr>
        <w:t xml:space="preserve"> </w:t>
      </w:r>
      <w:r w:rsidRPr="003F72F1">
        <w:rPr>
          <w:rFonts w:ascii="Arial" w:hAnsi="Arial" w:cs="Arial"/>
        </w:rPr>
        <w:t>and</w:t>
      </w:r>
      <w:r w:rsidRPr="003F72F1">
        <w:rPr>
          <w:rFonts w:ascii="Arial" w:hAnsi="Arial" w:cs="Arial"/>
          <w:spacing w:val="-10"/>
        </w:rPr>
        <w:t xml:space="preserve"> </w:t>
      </w:r>
      <w:r w:rsidRPr="003F72F1">
        <w:rPr>
          <w:rFonts w:ascii="Arial" w:hAnsi="Arial" w:cs="Arial"/>
        </w:rPr>
        <w:t>graduation</w:t>
      </w:r>
      <w:r w:rsidRPr="003F72F1">
        <w:rPr>
          <w:rFonts w:ascii="Arial" w:hAnsi="Arial" w:cs="Arial"/>
          <w:spacing w:val="-4"/>
        </w:rPr>
        <w:t xml:space="preserve"> </w:t>
      </w:r>
      <w:r w:rsidRPr="003F72F1">
        <w:rPr>
          <w:rFonts w:ascii="Arial" w:hAnsi="Arial" w:cs="Arial"/>
        </w:rPr>
        <w:t>rates and diminishing the achievement gap for</w:t>
      </w:r>
      <w:r w:rsidRPr="003F72F1">
        <w:rPr>
          <w:rFonts w:ascii="Arial" w:hAnsi="Arial" w:cs="Arial"/>
          <w:spacing w:val="-4"/>
        </w:rPr>
        <w:t xml:space="preserve"> </w:t>
      </w:r>
      <w:r w:rsidRPr="003F72F1">
        <w:rPr>
          <w:rFonts w:ascii="Arial" w:hAnsi="Arial" w:cs="Arial"/>
        </w:rPr>
        <w:t xml:space="preserve">URM students (defined in reference to Table </w:t>
      </w:r>
      <w:r>
        <w:rPr>
          <w:rFonts w:ascii="Arial" w:hAnsi="Arial" w:cs="Arial"/>
        </w:rPr>
        <w:t>***</w:t>
      </w:r>
      <w:r w:rsidRPr="003F72F1">
        <w:rPr>
          <w:rFonts w:ascii="Arial" w:hAnsi="Arial" w:cs="Arial"/>
        </w:rPr>
        <w:t xml:space="preserve"> as American Indian, Black, Pacific Islander, and Hispanic).  We have launched a multipronged approach which includes first-year experience courses, strong academic advising, early identification of at-risk students, improved student services, and specific workshops to help students succeed in challenging</w:t>
      </w:r>
      <w:r w:rsidRPr="003F72F1">
        <w:rPr>
          <w:rFonts w:ascii="Arial" w:hAnsi="Arial" w:cs="Arial"/>
          <w:spacing w:val="-17"/>
        </w:rPr>
        <w:t xml:space="preserve"> </w:t>
      </w:r>
      <w:r w:rsidRPr="003F72F1">
        <w:rPr>
          <w:rFonts w:ascii="Arial" w:hAnsi="Arial" w:cs="Arial"/>
        </w:rPr>
        <w:t xml:space="preserve">courses. Support is available both institution-wide and through the colleges. These support services, detailed below, have been developed over the last ten years and have, in combination, contributed to our increasing success in retaining URM students in the biomedical, health, and human behavioral-related fields–up from </w:t>
      </w:r>
      <w:r w:rsidRPr="003F72F1">
        <w:rPr>
          <w:rFonts w:ascii="Arial" w:hAnsi="Arial" w:cs="Arial"/>
          <w:highlight w:val="yellow"/>
        </w:rPr>
        <w:t>153 students or 20% of total in 2008 to 397 students in 2018, or 30% of total; see Table 1b.</w:t>
      </w:r>
      <w:r>
        <w:rPr>
          <w:rFonts w:ascii="Arial" w:hAnsi="Arial" w:cs="Arial"/>
        </w:rPr>
        <w:t xml:space="preserve"> UPDATE IF NEEDED FOR GRANT.</w:t>
      </w:r>
    </w:p>
    <w:p w14:paraId="270324CA" w14:textId="77777777" w:rsidR="003F72F1" w:rsidRPr="003F72F1" w:rsidRDefault="003F72F1" w:rsidP="003F72F1">
      <w:pPr>
        <w:pStyle w:val="Heading3"/>
        <w:rPr>
          <w:color w:val="auto"/>
        </w:rPr>
      </w:pPr>
      <w:r w:rsidRPr="003F72F1">
        <w:rPr>
          <w:color w:val="auto"/>
        </w:rPr>
        <w:t>SJSU-Wide Support</w:t>
      </w:r>
    </w:p>
    <w:p w14:paraId="3EA714BA" w14:textId="77777777" w:rsidR="003F72F1" w:rsidRPr="003F72F1" w:rsidRDefault="003F72F1" w:rsidP="003F72F1">
      <w:pPr>
        <w:ind w:left="720"/>
        <w:rPr>
          <w:rFonts w:ascii="Arial" w:hAnsi="Arial" w:cs="Arial"/>
        </w:rPr>
      </w:pPr>
      <w:r w:rsidRPr="003F72F1">
        <w:rPr>
          <w:rFonts w:ascii="Arial" w:hAnsi="Arial" w:cs="Arial"/>
          <w:b/>
          <w:bCs/>
          <w:iCs/>
        </w:rPr>
        <w:t>Workshops in Introductory and Mid-Level Biomedical Coursework:</w:t>
      </w:r>
      <w:r w:rsidRPr="003F72F1">
        <w:rPr>
          <w:rFonts w:ascii="Arial" w:hAnsi="Arial" w:cs="Arial"/>
          <w:b/>
          <w:bCs/>
        </w:rPr>
        <w:t xml:space="preserve"> </w:t>
      </w:r>
      <w:r w:rsidRPr="003F72F1">
        <w:rPr>
          <w:rFonts w:ascii="Arial" w:hAnsi="Arial" w:cs="Arial"/>
        </w:rPr>
        <w:t>To support students academically and ensure their retention, we offer a series of Academic Excellence Workshops and course preparation activities through the NIH Research Initiative for Scientific Enhancement (RISE) Program. These workshops include preparation courses for introductory chemistry, physics, and pre-calculus, and other shorter duration course-specific preparation workshops. We also offer free workshops to accompany many key courses in the biomedical sciences including</w:t>
      </w:r>
      <w:r w:rsidRPr="003F72F1">
        <w:rPr>
          <w:rFonts w:ascii="Arial" w:hAnsi="Arial" w:cs="Arial"/>
          <w:spacing w:val="-5"/>
        </w:rPr>
        <w:t xml:space="preserve"> </w:t>
      </w:r>
      <w:r w:rsidRPr="003F72F1">
        <w:rPr>
          <w:rFonts w:ascii="Arial" w:hAnsi="Arial" w:cs="Arial"/>
        </w:rPr>
        <w:t>introductory</w:t>
      </w:r>
      <w:r w:rsidRPr="003F72F1">
        <w:rPr>
          <w:rFonts w:ascii="Arial" w:hAnsi="Arial" w:cs="Arial"/>
          <w:spacing w:val="-9"/>
        </w:rPr>
        <w:t xml:space="preserve"> </w:t>
      </w:r>
      <w:r w:rsidRPr="003F72F1">
        <w:rPr>
          <w:rFonts w:ascii="Arial" w:hAnsi="Arial" w:cs="Arial"/>
        </w:rPr>
        <w:t>biology,</w:t>
      </w:r>
      <w:r w:rsidRPr="003F72F1">
        <w:rPr>
          <w:rFonts w:ascii="Arial" w:hAnsi="Arial" w:cs="Arial"/>
          <w:spacing w:val="-8"/>
        </w:rPr>
        <w:t xml:space="preserve"> </w:t>
      </w:r>
      <w:r w:rsidRPr="003F72F1">
        <w:rPr>
          <w:rFonts w:ascii="Arial" w:hAnsi="Arial" w:cs="Arial"/>
        </w:rPr>
        <w:t>genetics,</w:t>
      </w:r>
      <w:r w:rsidRPr="003F72F1">
        <w:rPr>
          <w:rFonts w:ascii="Arial" w:hAnsi="Arial" w:cs="Arial"/>
          <w:spacing w:val="-6"/>
        </w:rPr>
        <w:t xml:space="preserve"> </w:t>
      </w:r>
      <w:r w:rsidRPr="003F72F1">
        <w:rPr>
          <w:rFonts w:ascii="Arial" w:hAnsi="Arial" w:cs="Arial"/>
        </w:rPr>
        <w:t>introductory</w:t>
      </w:r>
      <w:r w:rsidRPr="003F72F1">
        <w:rPr>
          <w:rFonts w:ascii="Arial" w:hAnsi="Arial" w:cs="Arial"/>
          <w:spacing w:val="-9"/>
        </w:rPr>
        <w:t xml:space="preserve"> </w:t>
      </w:r>
      <w:r w:rsidRPr="003F72F1">
        <w:rPr>
          <w:rFonts w:ascii="Arial" w:hAnsi="Arial" w:cs="Arial"/>
        </w:rPr>
        <w:t>chemistry,</w:t>
      </w:r>
      <w:r w:rsidRPr="003F72F1">
        <w:rPr>
          <w:rFonts w:ascii="Arial" w:hAnsi="Arial" w:cs="Arial"/>
          <w:spacing w:val="-7"/>
        </w:rPr>
        <w:t xml:space="preserve"> </w:t>
      </w:r>
      <w:r w:rsidRPr="003F72F1">
        <w:rPr>
          <w:rFonts w:ascii="Arial" w:hAnsi="Arial" w:cs="Arial"/>
        </w:rPr>
        <w:t>and</w:t>
      </w:r>
      <w:r w:rsidRPr="003F72F1">
        <w:rPr>
          <w:rFonts w:ascii="Arial" w:hAnsi="Arial" w:cs="Arial"/>
          <w:spacing w:val="-9"/>
        </w:rPr>
        <w:t xml:space="preserve"> </w:t>
      </w:r>
      <w:r w:rsidRPr="003F72F1">
        <w:rPr>
          <w:rFonts w:ascii="Arial" w:hAnsi="Arial" w:cs="Arial"/>
        </w:rPr>
        <w:t>organic</w:t>
      </w:r>
      <w:r w:rsidRPr="003F72F1">
        <w:rPr>
          <w:rFonts w:ascii="Arial" w:hAnsi="Arial" w:cs="Arial"/>
          <w:spacing w:val="-8"/>
        </w:rPr>
        <w:t xml:space="preserve"> </w:t>
      </w:r>
      <w:r w:rsidRPr="003F72F1">
        <w:rPr>
          <w:rFonts w:ascii="Arial" w:hAnsi="Arial" w:cs="Arial"/>
        </w:rPr>
        <w:t>chemistry.</w:t>
      </w:r>
      <w:r w:rsidRPr="003F72F1">
        <w:rPr>
          <w:rFonts w:ascii="Arial" w:hAnsi="Arial" w:cs="Arial"/>
          <w:spacing w:val="-5"/>
        </w:rPr>
        <w:t xml:space="preserve"> </w:t>
      </w:r>
    </w:p>
    <w:p w14:paraId="2AD2F804" w14:textId="77777777" w:rsidR="003F72F1" w:rsidRPr="003F72F1" w:rsidRDefault="003F72F1" w:rsidP="003F72F1">
      <w:pPr>
        <w:ind w:left="720"/>
        <w:rPr>
          <w:rFonts w:ascii="Arial" w:hAnsi="Arial" w:cs="Arial"/>
          <w:i/>
          <w:iCs/>
        </w:rPr>
      </w:pPr>
      <w:r w:rsidRPr="003F72F1">
        <w:rPr>
          <w:rFonts w:ascii="Arial" w:hAnsi="Arial" w:cs="Arial"/>
          <w:b/>
          <w:bCs/>
        </w:rPr>
        <w:t xml:space="preserve">The Writing Center </w:t>
      </w:r>
      <w:r w:rsidRPr="003F72F1">
        <w:rPr>
          <w:rFonts w:ascii="Arial" w:hAnsi="Arial" w:cs="Arial"/>
        </w:rPr>
        <w:t xml:space="preserve">offers free workshops and one-on-one appointments with writing tutors, a service especially important for our many English-language learners, primarily Hispanic and Asian students. The Career Center works with students to help them prepare appropriately for </w:t>
      </w:r>
      <w:r w:rsidRPr="003F72F1">
        <w:rPr>
          <w:rFonts w:ascii="Arial" w:hAnsi="Arial" w:cs="Arial"/>
          <w:i/>
          <w:iCs/>
        </w:rPr>
        <w:t xml:space="preserve">career paths after SJSU, including providing information about PhD programs. </w:t>
      </w:r>
    </w:p>
    <w:p w14:paraId="7A818020" w14:textId="77777777" w:rsidR="003F72F1" w:rsidRPr="003F72F1" w:rsidRDefault="003F72F1" w:rsidP="003F72F1">
      <w:pPr>
        <w:ind w:left="720"/>
        <w:rPr>
          <w:rFonts w:ascii="Arial" w:hAnsi="Arial" w:cs="Arial"/>
          <w:spacing w:val="-8"/>
        </w:rPr>
      </w:pPr>
      <w:r w:rsidRPr="003F72F1">
        <w:rPr>
          <w:rFonts w:ascii="Arial" w:hAnsi="Arial" w:cs="Arial"/>
          <w:b/>
          <w:bCs/>
        </w:rPr>
        <w:t>The SJSU</w:t>
      </w:r>
      <w:r w:rsidRPr="003F72F1">
        <w:rPr>
          <w:rFonts w:ascii="Arial" w:hAnsi="Arial" w:cs="Arial"/>
        </w:rPr>
        <w:t xml:space="preserve"> </w:t>
      </w:r>
      <w:r w:rsidRPr="003F72F1">
        <w:rPr>
          <w:rFonts w:ascii="Arial" w:hAnsi="Arial" w:cs="Arial"/>
          <w:b/>
          <w:bCs/>
        </w:rPr>
        <w:t>Accessible Education Center (AEC)</w:t>
      </w:r>
      <w:r w:rsidRPr="003F72F1">
        <w:rPr>
          <w:rFonts w:ascii="Arial" w:hAnsi="Arial" w:cs="Arial"/>
          <w:i/>
          <w:iCs/>
        </w:rPr>
        <w:t xml:space="preserve"> s</w:t>
      </w:r>
      <w:r w:rsidRPr="003F72F1">
        <w:rPr>
          <w:rFonts w:ascii="Arial" w:hAnsi="Arial" w:cs="Arial"/>
        </w:rPr>
        <w:t>erves over 1,200 students with disabilities at SJSU, and has several innovative programs and facilities to retain students and address their academic needs. Currently, the AEC has a host</w:t>
      </w:r>
      <w:r w:rsidRPr="003F72F1">
        <w:rPr>
          <w:rFonts w:ascii="Arial" w:hAnsi="Arial" w:cs="Arial"/>
          <w:spacing w:val="-9"/>
        </w:rPr>
        <w:t xml:space="preserve"> </w:t>
      </w:r>
      <w:r w:rsidRPr="003F72F1">
        <w:rPr>
          <w:rFonts w:ascii="Arial" w:hAnsi="Arial" w:cs="Arial"/>
        </w:rPr>
        <w:t>of</w:t>
      </w:r>
      <w:r w:rsidRPr="003F72F1">
        <w:rPr>
          <w:rFonts w:ascii="Arial" w:hAnsi="Arial" w:cs="Arial"/>
          <w:spacing w:val="-8"/>
        </w:rPr>
        <w:t xml:space="preserve"> </w:t>
      </w:r>
      <w:r w:rsidRPr="003F72F1">
        <w:rPr>
          <w:rFonts w:ascii="Arial" w:hAnsi="Arial" w:cs="Arial"/>
        </w:rPr>
        <w:t>different</w:t>
      </w:r>
      <w:r w:rsidRPr="003F72F1">
        <w:rPr>
          <w:rFonts w:ascii="Arial" w:hAnsi="Arial" w:cs="Arial"/>
          <w:spacing w:val="-12"/>
        </w:rPr>
        <w:t xml:space="preserve"> </w:t>
      </w:r>
      <w:r w:rsidRPr="003F72F1">
        <w:rPr>
          <w:rFonts w:ascii="Arial" w:hAnsi="Arial" w:cs="Arial"/>
        </w:rPr>
        <w:t>services</w:t>
      </w:r>
      <w:r w:rsidRPr="003F72F1">
        <w:rPr>
          <w:rFonts w:ascii="Arial" w:hAnsi="Arial" w:cs="Arial"/>
          <w:spacing w:val="-12"/>
        </w:rPr>
        <w:t xml:space="preserve"> </w:t>
      </w:r>
      <w:r w:rsidRPr="003F72F1">
        <w:rPr>
          <w:rFonts w:ascii="Arial" w:hAnsi="Arial" w:cs="Arial"/>
        </w:rPr>
        <w:t>to</w:t>
      </w:r>
      <w:r w:rsidRPr="003F72F1">
        <w:rPr>
          <w:rFonts w:ascii="Arial" w:hAnsi="Arial" w:cs="Arial"/>
          <w:spacing w:val="-10"/>
        </w:rPr>
        <w:t xml:space="preserve"> </w:t>
      </w:r>
      <w:r w:rsidRPr="003F72F1">
        <w:rPr>
          <w:rFonts w:ascii="Arial" w:hAnsi="Arial" w:cs="Arial"/>
        </w:rPr>
        <w:t>accommodate</w:t>
      </w:r>
      <w:r w:rsidRPr="003F72F1">
        <w:rPr>
          <w:rFonts w:ascii="Arial" w:hAnsi="Arial" w:cs="Arial"/>
          <w:spacing w:val="-12"/>
        </w:rPr>
        <w:t xml:space="preserve"> </w:t>
      </w:r>
      <w:r w:rsidRPr="003F72F1">
        <w:rPr>
          <w:rFonts w:ascii="Arial" w:hAnsi="Arial" w:cs="Arial"/>
        </w:rPr>
        <w:t>students</w:t>
      </w:r>
      <w:r w:rsidRPr="003F72F1">
        <w:rPr>
          <w:rFonts w:ascii="Arial" w:hAnsi="Arial" w:cs="Arial"/>
          <w:spacing w:val="-10"/>
        </w:rPr>
        <w:t xml:space="preserve"> </w:t>
      </w:r>
      <w:r w:rsidRPr="003F72F1">
        <w:rPr>
          <w:rFonts w:ascii="Arial" w:hAnsi="Arial" w:cs="Arial"/>
        </w:rPr>
        <w:t>with</w:t>
      </w:r>
      <w:r w:rsidRPr="003F72F1">
        <w:rPr>
          <w:rFonts w:ascii="Arial" w:hAnsi="Arial" w:cs="Arial"/>
          <w:spacing w:val="-11"/>
        </w:rPr>
        <w:t xml:space="preserve"> </w:t>
      </w:r>
      <w:r w:rsidRPr="003F72F1">
        <w:rPr>
          <w:rFonts w:ascii="Arial" w:hAnsi="Arial" w:cs="Arial"/>
        </w:rPr>
        <w:t>different</w:t>
      </w:r>
      <w:r w:rsidRPr="003F72F1">
        <w:rPr>
          <w:rFonts w:ascii="Arial" w:hAnsi="Arial" w:cs="Arial"/>
          <w:spacing w:val="-11"/>
        </w:rPr>
        <w:t xml:space="preserve"> </w:t>
      </w:r>
      <w:r w:rsidRPr="003F72F1">
        <w:rPr>
          <w:rFonts w:ascii="Arial" w:hAnsi="Arial" w:cs="Arial"/>
        </w:rPr>
        <w:t>types</w:t>
      </w:r>
      <w:r w:rsidRPr="003F72F1">
        <w:rPr>
          <w:rFonts w:ascii="Arial" w:hAnsi="Arial" w:cs="Arial"/>
          <w:spacing w:val="-11"/>
        </w:rPr>
        <w:t xml:space="preserve"> </w:t>
      </w:r>
      <w:r w:rsidRPr="003F72F1">
        <w:rPr>
          <w:rFonts w:ascii="Arial" w:hAnsi="Arial" w:cs="Arial"/>
        </w:rPr>
        <w:t>of</w:t>
      </w:r>
      <w:r w:rsidRPr="003F72F1">
        <w:rPr>
          <w:rFonts w:ascii="Arial" w:hAnsi="Arial" w:cs="Arial"/>
          <w:spacing w:val="-8"/>
        </w:rPr>
        <w:t xml:space="preserve"> </w:t>
      </w:r>
      <w:r w:rsidRPr="003F72F1">
        <w:rPr>
          <w:rFonts w:ascii="Arial" w:hAnsi="Arial" w:cs="Arial"/>
        </w:rPr>
        <w:t>disabilities,</w:t>
      </w:r>
      <w:r w:rsidRPr="003F72F1">
        <w:rPr>
          <w:rFonts w:ascii="Arial" w:hAnsi="Arial" w:cs="Arial"/>
          <w:spacing w:val="-8"/>
        </w:rPr>
        <w:t xml:space="preserve"> </w:t>
      </w:r>
      <w:r w:rsidRPr="003F72F1">
        <w:rPr>
          <w:rFonts w:ascii="Arial" w:hAnsi="Arial" w:cs="Arial"/>
        </w:rPr>
        <w:t>including academic accommodations, academic advising, deaf and hard-of-hearing services, and learning disability services. Alternative media is available for students through the Alternative</w:t>
      </w:r>
      <w:r w:rsidRPr="003F72F1">
        <w:rPr>
          <w:rFonts w:ascii="Arial" w:hAnsi="Arial" w:cs="Arial"/>
          <w:spacing w:val="-10"/>
        </w:rPr>
        <w:t xml:space="preserve"> </w:t>
      </w:r>
      <w:r w:rsidRPr="003F72F1">
        <w:rPr>
          <w:rFonts w:ascii="Arial" w:hAnsi="Arial" w:cs="Arial"/>
        </w:rPr>
        <w:t>Media</w:t>
      </w:r>
      <w:r w:rsidRPr="003F72F1">
        <w:rPr>
          <w:rFonts w:ascii="Arial" w:hAnsi="Arial" w:cs="Arial"/>
          <w:spacing w:val="-10"/>
        </w:rPr>
        <w:t xml:space="preserve"> </w:t>
      </w:r>
      <w:r w:rsidRPr="003F72F1">
        <w:rPr>
          <w:rFonts w:ascii="Arial" w:hAnsi="Arial" w:cs="Arial"/>
        </w:rPr>
        <w:t>Center.</w:t>
      </w:r>
      <w:r w:rsidRPr="003F72F1">
        <w:rPr>
          <w:rFonts w:ascii="Arial" w:hAnsi="Arial" w:cs="Arial"/>
          <w:spacing w:val="-8"/>
        </w:rPr>
        <w:t xml:space="preserve"> </w:t>
      </w:r>
      <w:r w:rsidRPr="003F72F1">
        <w:rPr>
          <w:rFonts w:ascii="Arial" w:hAnsi="Arial" w:cs="Arial"/>
        </w:rPr>
        <w:t>Possible</w:t>
      </w:r>
      <w:r w:rsidRPr="003F72F1">
        <w:rPr>
          <w:rFonts w:ascii="Arial" w:hAnsi="Arial" w:cs="Arial"/>
          <w:spacing w:val="-10"/>
        </w:rPr>
        <w:t xml:space="preserve"> </w:t>
      </w:r>
      <w:r w:rsidRPr="003F72F1">
        <w:rPr>
          <w:rFonts w:ascii="Arial" w:hAnsi="Arial" w:cs="Arial"/>
        </w:rPr>
        <w:t>alternative</w:t>
      </w:r>
      <w:r w:rsidRPr="003F72F1">
        <w:rPr>
          <w:rFonts w:ascii="Arial" w:hAnsi="Arial" w:cs="Arial"/>
          <w:spacing w:val="-10"/>
        </w:rPr>
        <w:t xml:space="preserve"> </w:t>
      </w:r>
      <w:r w:rsidRPr="003F72F1">
        <w:rPr>
          <w:rFonts w:ascii="Arial" w:hAnsi="Arial" w:cs="Arial"/>
        </w:rPr>
        <w:t>media</w:t>
      </w:r>
      <w:r w:rsidRPr="003F72F1">
        <w:rPr>
          <w:rFonts w:ascii="Arial" w:hAnsi="Arial" w:cs="Arial"/>
          <w:spacing w:val="-9"/>
        </w:rPr>
        <w:t xml:space="preserve"> </w:t>
      </w:r>
      <w:r w:rsidRPr="003F72F1">
        <w:rPr>
          <w:rFonts w:ascii="Arial" w:hAnsi="Arial" w:cs="Arial"/>
        </w:rPr>
        <w:t>formats</w:t>
      </w:r>
      <w:r w:rsidRPr="003F72F1">
        <w:rPr>
          <w:rFonts w:ascii="Arial" w:hAnsi="Arial" w:cs="Arial"/>
          <w:spacing w:val="-10"/>
        </w:rPr>
        <w:t xml:space="preserve"> </w:t>
      </w:r>
      <w:r w:rsidRPr="003F72F1">
        <w:rPr>
          <w:rFonts w:ascii="Arial" w:hAnsi="Arial" w:cs="Arial"/>
        </w:rPr>
        <w:t>include</w:t>
      </w:r>
      <w:r w:rsidRPr="003F72F1">
        <w:rPr>
          <w:rFonts w:ascii="Arial" w:hAnsi="Arial" w:cs="Arial"/>
          <w:spacing w:val="-10"/>
        </w:rPr>
        <w:t xml:space="preserve"> </w:t>
      </w:r>
      <w:r w:rsidRPr="003F72F1">
        <w:rPr>
          <w:rFonts w:ascii="Arial" w:hAnsi="Arial" w:cs="Arial"/>
        </w:rPr>
        <w:t>Braille,</w:t>
      </w:r>
      <w:r w:rsidRPr="003F72F1">
        <w:rPr>
          <w:rFonts w:ascii="Arial" w:hAnsi="Arial" w:cs="Arial"/>
          <w:spacing w:val="-8"/>
        </w:rPr>
        <w:t xml:space="preserve"> </w:t>
      </w:r>
      <w:r w:rsidRPr="003F72F1">
        <w:rPr>
          <w:rFonts w:ascii="Arial" w:hAnsi="Arial" w:cs="Arial"/>
        </w:rPr>
        <w:t>electronic</w:t>
      </w:r>
      <w:r w:rsidRPr="003F72F1">
        <w:rPr>
          <w:rFonts w:ascii="Arial" w:hAnsi="Arial" w:cs="Arial"/>
          <w:spacing w:val="-12"/>
        </w:rPr>
        <w:t xml:space="preserve"> </w:t>
      </w:r>
      <w:r w:rsidRPr="003F72F1">
        <w:rPr>
          <w:rFonts w:ascii="Arial" w:hAnsi="Arial" w:cs="Arial"/>
        </w:rPr>
        <w:t>text,</w:t>
      </w:r>
      <w:r w:rsidRPr="003F72F1">
        <w:rPr>
          <w:rFonts w:ascii="Arial" w:hAnsi="Arial" w:cs="Arial"/>
          <w:spacing w:val="-8"/>
        </w:rPr>
        <w:t xml:space="preserve"> </w:t>
      </w:r>
      <w:r w:rsidRPr="003F72F1">
        <w:rPr>
          <w:rFonts w:ascii="Arial" w:hAnsi="Arial" w:cs="Arial"/>
        </w:rPr>
        <w:t>Mp3, and</w:t>
      </w:r>
      <w:r w:rsidRPr="003F72F1">
        <w:rPr>
          <w:rFonts w:ascii="Arial" w:hAnsi="Arial" w:cs="Arial"/>
          <w:spacing w:val="-8"/>
        </w:rPr>
        <w:t xml:space="preserve"> </w:t>
      </w:r>
      <w:r w:rsidRPr="003F72F1">
        <w:rPr>
          <w:rFonts w:ascii="Arial" w:hAnsi="Arial" w:cs="Arial"/>
        </w:rPr>
        <w:t>large</w:t>
      </w:r>
      <w:r w:rsidRPr="003F72F1">
        <w:rPr>
          <w:rFonts w:ascii="Arial" w:hAnsi="Arial" w:cs="Arial"/>
          <w:spacing w:val="-9"/>
        </w:rPr>
        <w:t xml:space="preserve"> </w:t>
      </w:r>
      <w:r w:rsidRPr="003F72F1">
        <w:rPr>
          <w:rFonts w:ascii="Arial" w:hAnsi="Arial" w:cs="Arial"/>
        </w:rPr>
        <w:t>print.</w:t>
      </w:r>
      <w:r w:rsidRPr="003F72F1">
        <w:rPr>
          <w:rFonts w:ascii="Arial" w:hAnsi="Arial" w:cs="Arial"/>
          <w:spacing w:val="-8"/>
        </w:rPr>
        <w:t xml:space="preserve"> </w:t>
      </w:r>
    </w:p>
    <w:p w14:paraId="3C4E59C2" w14:textId="0A0296FE" w:rsidR="003F72F1" w:rsidRDefault="003F72F1">
      <w:pPr>
        <w:rPr>
          <w:rFonts w:ascii="Arial" w:hAnsi="Arial" w:cs="Arial"/>
        </w:rPr>
      </w:pPr>
    </w:p>
    <w:p w14:paraId="20673BFB" w14:textId="077B1E8D" w:rsidR="00D17831" w:rsidRDefault="00D17831">
      <w:pPr>
        <w:rPr>
          <w:rFonts w:ascii="Arial" w:hAnsi="Arial" w:cs="Arial"/>
        </w:rPr>
      </w:pPr>
    </w:p>
    <w:p w14:paraId="194FCAA9" w14:textId="2C470198" w:rsidR="00D17831" w:rsidRDefault="00D17831">
      <w:pPr>
        <w:rPr>
          <w:rFonts w:ascii="Arial" w:hAnsi="Arial" w:cs="Arial"/>
        </w:rPr>
      </w:pPr>
      <w:r>
        <w:rPr>
          <w:rFonts w:ascii="Arial" w:hAnsi="Arial" w:cs="Arial"/>
        </w:rPr>
        <w:lastRenderedPageBreak/>
        <w:t>*** For grants that require information about faculty support</w:t>
      </w:r>
    </w:p>
    <w:p w14:paraId="56DB64BC" w14:textId="77777777" w:rsidR="00D17831" w:rsidRDefault="00D17831" w:rsidP="00D17831">
      <w:pPr>
        <w:pBdr>
          <w:top w:val="nil"/>
          <w:left w:val="nil"/>
          <w:bottom w:val="nil"/>
          <w:right w:val="nil"/>
          <w:between w:val="nil"/>
        </w:pBdr>
        <w:shd w:val="clear" w:color="auto" w:fill="FFFFFF"/>
        <w:spacing w:after="0" w:line="240" w:lineRule="auto"/>
        <w:rPr>
          <w:rFonts w:ascii="Arial" w:eastAsia="Arial" w:hAnsi="Arial" w:cs="Arial"/>
          <w:color w:val="222222"/>
        </w:rPr>
      </w:pPr>
      <w:r w:rsidRPr="00F56C17">
        <w:rPr>
          <w:rFonts w:ascii="Arial" w:eastAsia="Arial" w:hAnsi="Arial" w:cs="Arial"/>
          <w:b/>
          <w:bCs/>
          <w:color w:val="202124"/>
        </w:rPr>
        <w:t>Office for Faculty Success, housed within the Office of the Provost</w:t>
      </w:r>
      <w:r>
        <w:rPr>
          <w:rFonts w:ascii="Arial" w:eastAsia="Arial" w:hAnsi="Arial" w:cs="Arial"/>
          <w:color w:val="202124"/>
        </w:rPr>
        <w:t xml:space="preserve">, is the foundation for the professional development and long-term success of tenure-line and lecturer faculty members </w:t>
      </w:r>
      <w:r>
        <w:rPr>
          <w:rFonts w:ascii="Arial" w:eastAsia="Arial" w:hAnsi="Arial" w:cs="Arial"/>
          <w:color w:val="222222"/>
        </w:rPr>
        <w:t>as they engage in their teaching and advising; research and creative activities; and leadership on and beyond campus. In its inaugural year, the Office for Faculty Success addressed retention, tenure and promotion, revamping RTP committee training to be available in an online, asynchronous format, including the creation of a course for college leadership teams, enabling faculty, staff, and administrators to access the same information. New material was introduced into the training to address implicit bias in the evaluation process and to highlight considerations for historically underrepresented faculty across areas of achievement (academic assignment, scholarly and creative activities, and service). The Office of Faculty Success also addressed faculty recruitment, transitioning faculty search committee training to be available in an online, asynchronous format, again creating a version of the course for college leadership teams and updating the training to include best practices on drawing diverse applicant pools, equitable assessment of candidates. The Office also facilitated community support and professional development for tenure-line Black, Indigenous and people of color (BIPOC) faculty through a series of monthly meetings about critical aspects of the RTP process, and in collaboration with the Professional Standards Committee of the Academic Senate, created a plan to substantively revise current retention, tenure, and promotion (RTP) policy to address educational equity activities in teaching, research, and service via consultations with a variety of faculty constituent groups in AY 2021-22.</w:t>
      </w:r>
    </w:p>
    <w:p w14:paraId="2584130B" w14:textId="77777777" w:rsidR="00D17831" w:rsidRPr="003F72F1" w:rsidRDefault="00D17831">
      <w:pPr>
        <w:rPr>
          <w:rFonts w:ascii="Arial" w:hAnsi="Arial" w:cs="Arial"/>
        </w:rPr>
      </w:pPr>
    </w:p>
    <w:sectPr w:rsidR="00D17831" w:rsidRPr="003F72F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F6"/>
    <w:rsid w:val="003F72F1"/>
    <w:rsid w:val="0079741F"/>
    <w:rsid w:val="00846883"/>
    <w:rsid w:val="009D31E4"/>
    <w:rsid w:val="00D17831"/>
    <w:rsid w:val="00D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0BDB"/>
  <w15:chartTrackingRefBased/>
  <w15:docId w15:val="{6546F9DB-7525-4A92-97A2-138BDE76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F6"/>
    <w:pPr>
      <w:spacing w:after="200" w:line="276" w:lineRule="auto"/>
    </w:pPr>
    <w:rPr>
      <w:rFonts w:ascii="Calibri" w:eastAsia="Calibri" w:hAnsi="Calibri" w:cs="Calibri"/>
    </w:rPr>
  </w:style>
  <w:style w:type="paragraph" w:styleId="Heading2">
    <w:name w:val="heading 2"/>
    <w:basedOn w:val="Normal"/>
    <w:link w:val="Heading2Char"/>
    <w:uiPriority w:val="1"/>
    <w:qFormat/>
    <w:rsid w:val="003F72F1"/>
    <w:pPr>
      <w:widowControl w:val="0"/>
      <w:autoSpaceDE w:val="0"/>
      <w:autoSpaceDN w:val="0"/>
      <w:spacing w:after="160" w:line="240" w:lineRule="auto"/>
      <w:jc w:val="both"/>
      <w:outlineLvl w:val="1"/>
    </w:pPr>
    <w:rPr>
      <w:rFonts w:ascii="Arial" w:eastAsia="Arial" w:hAnsi="Arial" w:cs="Arial"/>
      <w:b/>
      <w:bCs/>
      <w:color w:val="231F20"/>
      <w:sz w:val="24"/>
      <w:szCs w:val="24"/>
      <w:u w:color="231F20"/>
      <w:lang w:eastAsia="ja-JP"/>
    </w:rPr>
  </w:style>
  <w:style w:type="paragraph" w:styleId="Heading3">
    <w:name w:val="heading 3"/>
    <w:basedOn w:val="Normal"/>
    <w:next w:val="Normal"/>
    <w:link w:val="Heading3Char"/>
    <w:uiPriority w:val="9"/>
    <w:unhideWhenUsed/>
    <w:qFormat/>
    <w:rsid w:val="003F72F1"/>
    <w:pPr>
      <w:keepNext/>
      <w:keepLines/>
      <w:widowControl w:val="0"/>
      <w:autoSpaceDE w:val="0"/>
      <w:autoSpaceDN w:val="0"/>
      <w:spacing w:before="120" w:after="80" w:line="240" w:lineRule="auto"/>
      <w:outlineLvl w:val="2"/>
    </w:pPr>
    <w:rPr>
      <w:rFonts w:ascii="Arial" w:eastAsiaTheme="majorEastAsia" w:hAnsi="Arial" w:cs="Arial"/>
      <w:b/>
      <w:bCs/>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7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3F72F1"/>
    <w:rPr>
      <w:rFonts w:ascii="Arial" w:eastAsia="Arial" w:hAnsi="Arial" w:cs="Arial"/>
      <w:b/>
      <w:bCs/>
      <w:color w:val="231F20"/>
      <w:sz w:val="24"/>
      <w:szCs w:val="24"/>
      <w:u w:color="231F20"/>
      <w:lang w:eastAsia="ja-JP"/>
    </w:rPr>
  </w:style>
  <w:style w:type="character" w:customStyle="1" w:styleId="Heading3Char">
    <w:name w:val="Heading 3 Char"/>
    <w:basedOn w:val="DefaultParagraphFont"/>
    <w:link w:val="Heading3"/>
    <w:uiPriority w:val="9"/>
    <w:rsid w:val="003F72F1"/>
    <w:rPr>
      <w:rFonts w:ascii="Arial" w:eastAsiaTheme="majorEastAsia" w:hAnsi="Arial" w:cs="Arial"/>
      <w:b/>
      <w:b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Drabble</dc:creator>
  <cp:keywords/>
  <dc:description/>
  <cp:lastModifiedBy>Laurie Drabble</cp:lastModifiedBy>
  <cp:revision>2</cp:revision>
  <dcterms:created xsi:type="dcterms:W3CDTF">2022-01-29T00:38:00Z</dcterms:created>
  <dcterms:modified xsi:type="dcterms:W3CDTF">2022-01-29T00:53:00Z</dcterms:modified>
</cp:coreProperties>
</file>