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E7" w:rsidRDefault="00291080">
      <w:pPr>
        <w:spacing w:after="0" w:line="240" w:lineRule="auto"/>
        <w:jc w:val="center"/>
        <w:rPr>
          <w:rFonts w:ascii="Times New Roman" w:hAnsi="Times New Roman"/>
          <w:bCs/>
          <w:sz w:val="40"/>
          <w:szCs w:val="40"/>
        </w:rPr>
      </w:pPr>
      <w:r w:rsidRPr="00291080">
        <w:rPr>
          <w:rFonts w:ascii="Times New Roman" w:hAnsi="Times New Roman"/>
          <w:bCs/>
          <w:sz w:val="40"/>
          <w:szCs w:val="40"/>
        </w:rPr>
        <w:t>Tax Induced Cigarette Smuggling in the United States</w:t>
      </w:r>
    </w:p>
    <w:p w:rsidR="002D08D6" w:rsidRDefault="002D08D6">
      <w:pPr>
        <w:spacing w:after="0" w:line="240" w:lineRule="auto"/>
        <w:jc w:val="center"/>
        <w:rPr>
          <w:rFonts w:ascii="Times New Roman" w:hAnsi="Times New Roman"/>
          <w:bCs/>
          <w:sz w:val="40"/>
          <w:szCs w:val="40"/>
        </w:rPr>
      </w:pPr>
    </w:p>
    <w:p w:rsidR="002D08D6" w:rsidRPr="002D08D6" w:rsidRDefault="002D08D6">
      <w:pPr>
        <w:spacing w:after="0" w:line="240" w:lineRule="auto"/>
        <w:jc w:val="center"/>
        <w:rPr>
          <w:rFonts w:ascii="Times New Roman" w:hAnsi="Times New Roman"/>
          <w:sz w:val="24"/>
          <w:szCs w:val="24"/>
        </w:rPr>
      </w:pPr>
      <w:r>
        <w:rPr>
          <w:rFonts w:ascii="Times New Roman" w:hAnsi="Times New Roman"/>
          <w:sz w:val="24"/>
          <w:szCs w:val="24"/>
        </w:rPr>
        <w:t>&lt;Preliminary Draft: please contact authors for updated manuscript before citing.&gt;</w:t>
      </w:r>
    </w:p>
    <w:p w:rsidR="009535E7" w:rsidRDefault="009535E7">
      <w:pPr>
        <w:spacing w:after="0" w:line="240" w:lineRule="auto"/>
        <w:jc w:val="center"/>
        <w:rPr>
          <w:rFonts w:ascii="Times New Roman" w:hAnsi="Times New Roman"/>
          <w:sz w:val="32"/>
          <w:szCs w:val="32"/>
        </w:rPr>
      </w:pPr>
    </w:p>
    <w:p w:rsidR="00291080" w:rsidRDefault="00291080">
      <w:pPr>
        <w:spacing w:after="0" w:line="240" w:lineRule="auto"/>
        <w:jc w:val="center"/>
        <w:rPr>
          <w:rFonts w:ascii="Times New Roman" w:hAnsi="Times New Roman"/>
          <w:sz w:val="32"/>
          <w:szCs w:val="32"/>
        </w:rPr>
      </w:pPr>
    </w:p>
    <w:p w:rsidR="009535E7" w:rsidRDefault="009535E7">
      <w:pPr>
        <w:spacing w:after="0" w:line="240" w:lineRule="auto"/>
        <w:jc w:val="center"/>
        <w:rPr>
          <w:rFonts w:ascii="Times New Roman" w:hAnsi="Times New Roman"/>
          <w:sz w:val="32"/>
          <w:szCs w:val="32"/>
        </w:rPr>
      </w:pPr>
      <w:r>
        <w:rPr>
          <w:rFonts w:ascii="Times New Roman" w:hAnsi="Times New Roman"/>
          <w:sz w:val="32"/>
          <w:szCs w:val="32"/>
        </w:rPr>
        <w:t>Todd M. Nesbit</w:t>
      </w:r>
      <w:r w:rsidR="00291080">
        <w:rPr>
          <w:rFonts w:ascii="Times New Roman" w:hAnsi="Times New Roman"/>
          <w:sz w:val="32"/>
          <w:szCs w:val="32"/>
        </w:rPr>
        <w:t>*</w:t>
      </w:r>
    </w:p>
    <w:p w:rsidR="009535E7" w:rsidRDefault="009535E7">
      <w:pPr>
        <w:spacing w:after="0" w:line="240" w:lineRule="auto"/>
        <w:jc w:val="center"/>
        <w:rPr>
          <w:rFonts w:ascii="Times New Roman" w:hAnsi="Times New Roman"/>
          <w:sz w:val="24"/>
          <w:szCs w:val="24"/>
        </w:rPr>
      </w:pPr>
      <w:r>
        <w:rPr>
          <w:rFonts w:ascii="Times New Roman" w:hAnsi="Times New Roman"/>
          <w:sz w:val="24"/>
          <w:szCs w:val="24"/>
        </w:rPr>
        <w:t>Department of Economics and Finance</w:t>
      </w:r>
    </w:p>
    <w:p w:rsidR="009535E7" w:rsidRDefault="009535E7">
      <w:pPr>
        <w:spacing w:after="0" w:line="240" w:lineRule="auto"/>
        <w:jc w:val="center"/>
        <w:rPr>
          <w:rFonts w:ascii="Times New Roman" w:hAnsi="Times New Roman"/>
          <w:sz w:val="24"/>
          <w:szCs w:val="24"/>
        </w:rPr>
      </w:pPr>
      <w:r>
        <w:rPr>
          <w:rFonts w:ascii="Times New Roman" w:hAnsi="Times New Roman"/>
          <w:sz w:val="24"/>
          <w:szCs w:val="24"/>
        </w:rPr>
        <w:t>College of Charleston</w:t>
      </w:r>
    </w:p>
    <w:p w:rsidR="009535E7" w:rsidRDefault="009535E7">
      <w:pPr>
        <w:spacing w:after="0" w:line="240" w:lineRule="auto"/>
        <w:jc w:val="center"/>
        <w:rPr>
          <w:rFonts w:ascii="Times New Roman" w:hAnsi="Times New Roman"/>
          <w:sz w:val="24"/>
          <w:szCs w:val="24"/>
        </w:rPr>
      </w:pPr>
      <w:r>
        <w:rPr>
          <w:rFonts w:ascii="Times New Roman" w:hAnsi="Times New Roman"/>
          <w:sz w:val="24"/>
          <w:szCs w:val="24"/>
        </w:rPr>
        <w:t>66 George Street</w:t>
      </w:r>
    </w:p>
    <w:p w:rsidR="009535E7" w:rsidRDefault="009535E7">
      <w:pPr>
        <w:spacing w:after="0" w:line="240" w:lineRule="auto"/>
        <w:jc w:val="center"/>
        <w:rPr>
          <w:rFonts w:ascii="Times New Roman" w:hAnsi="Times New Roman"/>
          <w:sz w:val="24"/>
          <w:szCs w:val="24"/>
        </w:rPr>
      </w:pPr>
      <w:r>
        <w:rPr>
          <w:rFonts w:ascii="Times New Roman" w:hAnsi="Times New Roman"/>
          <w:sz w:val="24"/>
          <w:szCs w:val="24"/>
        </w:rPr>
        <w:t>Charleston, SC 29424</w:t>
      </w:r>
    </w:p>
    <w:p w:rsidR="009535E7" w:rsidRDefault="009535E7">
      <w:pPr>
        <w:spacing w:after="0" w:line="240" w:lineRule="auto"/>
        <w:jc w:val="center"/>
        <w:rPr>
          <w:rFonts w:ascii="Times New Roman" w:hAnsi="Times New Roman"/>
          <w:sz w:val="24"/>
          <w:szCs w:val="24"/>
        </w:rPr>
      </w:pPr>
      <w:r>
        <w:rPr>
          <w:rFonts w:ascii="Times New Roman" w:hAnsi="Times New Roman"/>
          <w:sz w:val="24"/>
          <w:szCs w:val="24"/>
        </w:rPr>
        <w:t>nesbittm@cofc.edu</w:t>
      </w:r>
    </w:p>
    <w:p w:rsidR="009535E7" w:rsidRDefault="009535E7">
      <w:pPr>
        <w:spacing w:after="0" w:line="240" w:lineRule="auto"/>
        <w:jc w:val="center"/>
        <w:rPr>
          <w:rFonts w:ascii="Times New Roman" w:hAnsi="Times New Roman"/>
          <w:sz w:val="24"/>
          <w:szCs w:val="24"/>
        </w:rPr>
      </w:pPr>
    </w:p>
    <w:p w:rsidR="00291080" w:rsidRDefault="00291080">
      <w:pPr>
        <w:spacing w:after="0" w:line="240" w:lineRule="auto"/>
        <w:jc w:val="center"/>
        <w:rPr>
          <w:rFonts w:ascii="Times New Roman" w:hAnsi="Times New Roman"/>
          <w:sz w:val="24"/>
          <w:szCs w:val="24"/>
        </w:rPr>
      </w:pPr>
    </w:p>
    <w:p w:rsidR="00291080" w:rsidRDefault="00291080" w:rsidP="00291080">
      <w:pPr>
        <w:spacing w:after="0" w:line="240" w:lineRule="auto"/>
        <w:jc w:val="center"/>
        <w:rPr>
          <w:rFonts w:ascii="Times New Roman" w:hAnsi="Times New Roman"/>
          <w:sz w:val="32"/>
          <w:szCs w:val="32"/>
        </w:rPr>
      </w:pPr>
      <w:r>
        <w:rPr>
          <w:rFonts w:ascii="Times New Roman" w:hAnsi="Times New Roman"/>
          <w:sz w:val="32"/>
          <w:szCs w:val="32"/>
        </w:rPr>
        <w:t>Robert A. Lawson</w:t>
      </w:r>
    </w:p>
    <w:p w:rsidR="00291080" w:rsidRDefault="00291080" w:rsidP="00291080">
      <w:pPr>
        <w:spacing w:after="0" w:line="240" w:lineRule="auto"/>
        <w:jc w:val="center"/>
        <w:rPr>
          <w:rFonts w:ascii="Times New Roman" w:hAnsi="Times New Roman"/>
          <w:sz w:val="24"/>
          <w:szCs w:val="24"/>
        </w:rPr>
      </w:pPr>
      <w:r>
        <w:rPr>
          <w:rFonts w:ascii="Times New Roman" w:hAnsi="Times New Roman"/>
          <w:sz w:val="24"/>
          <w:szCs w:val="20"/>
        </w:rPr>
        <w:t>O’Neil Center for Global Markets and Freedom</w:t>
      </w:r>
      <w:r>
        <w:rPr>
          <w:rFonts w:ascii="Times New Roman" w:hAnsi="Times New Roman"/>
          <w:sz w:val="24"/>
          <w:szCs w:val="20"/>
        </w:rPr>
        <w:br/>
        <w:t>Cox School of Business</w:t>
      </w:r>
      <w:r>
        <w:rPr>
          <w:rFonts w:ascii="Times New Roman" w:hAnsi="Times New Roman"/>
          <w:sz w:val="24"/>
          <w:szCs w:val="24"/>
        </w:rPr>
        <w:t xml:space="preserve"> </w:t>
      </w:r>
    </w:p>
    <w:p w:rsidR="00291080" w:rsidRDefault="00291080" w:rsidP="00291080">
      <w:pPr>
        <w:spacing w:after="0" w:line="240" w:lineRule="auto"/>
        <w:jc w:val="center"/>
        <w:rPr>
          <w:rFonts w:ascii="Times New Roman" w:hAnsi="Times New Roman"/>
          <w:sz w:val="24"/>
          <w:szCs w:val="24"/>
        </w:rPr>
      </w:pPr>
      <w:r>
        <w:rPr>
          <w:rFonts w:ascii="Times New Roman" w:hAnsi="Times New Roman"/>
          <w:sz w:val="24"/>
          <w:szCs w:val="24"/>
        </w:rPr>
        <w:t>Southern Methodist University</w:t>
      </w:r>
      <w:r>
        <w:rPr>
          <w:rFonts w:ascii="Times New Roman" w:hAnsi="Times New Roman"/>
          <w:sz w:val="24"/>
          <w:szCs w:val="20"/>
        </w:rPr>
        <w:br/>
        <w:t xml:space="preserve">PO Box 750333 </w:t>
      </w:r>
      <w:r>
        <w:rPr>
          <w:rFonts w:ascii="Times New Roman" w:hAnsi="Times New Roman"/>
          <w:sz w:val="24"/>
          <w:szCs w:val="20"/>
        </w:rPr>
        <w:br/>
        <w:t>Dallas, TX 75275</w:t>
      </w:r>
    </w:p>
    <w:p w:rsidR="00291080" w:rsidRDefault="00291080" w:rsidP="00291080">
      <w:pPr>
        <w:spacing w:after="0" w:line="240" w:lineRule="auto"/>
        <w:jc w:val="center"/>
        <w:rPr>
          <w:rFonts w:ascii="Times New Roman" w:hAnsi="Times New Roman"/>
          <w:sz w:val="32"/>
          <w:szCs w:val="32"/>
        </w:rPr>
      </w:pPr>
    </w:p>
    <w:p w:rsidR="00291080" w:rsidRDefault="00291080" w:rsidP="00291080">
      <w:pPr>
        <w:spacing w:after="0" w:line="240" w:lineRule="auto"/>
        <w:jc w:val="center"/>
        <w:rPr>
          <w:rFonts w:ascii="Times New Roman" w:hAnsi="Times New Roman"/>
          <w:sz w:val="32"/>
          <w:szCs w:val="32"/>
        </w:rPr>
      </w:pPr>
    </w:p>
    <w:p w:rsidR="00291080" w:rsidRDefault="00291080">
      <w:pPr>
        <w:spacing w:after="0" w:line="240" w:lineRule="auto"/>
        <w:jc w:val="center"/>
        <w:rPr>
          <w:rFonts w:ascii="Times New Roman" w:hAnsi="Times New Roman"/>
          <w:sz w:val="24"/>
          <w:szCs w:val="24"/>
        </w:rPr>
      </w:pPr>
    </w:p>
    <w:p w:rsidR="009535E7" w:rsidRDefault="009535E7">
      <w:pPr>
        <w:spacing w:after="0" w:line="240" w:lineRule="auto"/>
        <w:jc w:val="center"/>
        <w:rPr>
          <w:rFonts w:ascii="Times New Roman" w:hAnsi="Times New Roman"/>
          <w:sz w:val="24"/>
          <w:szCs w:val="24"/>
        </w:rPr>
      </w:pPr>
    </w:p>
    <w:p w:rsidR="009535E7" w:rsidRDefault="009535E7">
      <w:pPr>
        <w:spacing w:after="0" w:line="240" w:lineRule="auto"/>
        <w:jc w:val="both"/>
        <w:rPr>
          <w:rFonts w:ascii="Times New Roman" w:hAnsi="Times New Roman"/>
          <w:sz w:val="24"/>
          <w:szCs w:val="24"/>
        </w:rPr>
      </w:pPr>
      <w:r>
        <w:rPr>
          <w:rFonts w:ascii="Times New Roman" w:hAnsi="Times New Roman"/>
          <w:b/>
          <w:bCs/>
          <w:sz w:val="24"/>
          <w:szCs w:val="24"/>
        </w:rPr>
        <w:t>Abstract</w:t>
      </w:r>
      <w:r>
        <w:rPr>
          <w:rFonts w:ascii="Times New Roman" w:hAnsi="Times New Roman"/>
          <w:sz w:val="24"/>
          <w:szCs w:val="24"/>
        </w:rPr>
        <w:t>:</w:t>
      </w:r>
      <w:r w:rsidR="00291080">
        <w:rPr>
          <w:rFonts w:ascii="Times New Roman" w:hAnsi="Times New Roman"/>
          <w:sz w:val="24"/>
          <w:szCs w:val="24"/>
        </w:rPr>
        <w:t xml:space="preserve"> </w:t>
      </w:r>
      <w:r>
        <w:rPr>
          <w:rFonts w:ascii="Times New Roman" w:hAnsi="Times New Roman"/>
          <w:sz w:val="24"/>
          <w:szCs w:val="24"/>
        </w:rPr>
        <w:t xml:space="preserve"> </w:t>
      </w:r>
    </w:p>
    <w:p w:rsidR="009535E7" w:rsidRDefault="00190B64">
      <w:pPr>
        <w:spacing w:after="0" w:line="240" w:lineRule="auto"/>
        <w:rPr>
          <w:rFonts w:ascii="Times New Roman" w:hAnsi="Times New Roman"/>
          <w:sz w:val="24"/>
          <w:szCs w:val="24"/>
        </w:rPr>
      </w:pPr>
      <w:r>
        <w:rPr>
          <w:rFonts w:ascii="Times New Roman" w:hAnsi="Times New Roman"/>
          <w:sz w:val="24"/>
          <w:szCs w:val="24"/>
        </w:rPr>
        <w:t>Given the many recent and, in some cases, large increases in cigarette tax rates, tax differentials across state and international</w:t>
      </w:r>
      <w:r w:rsidR="00973680">
        <w:rPr>
          <w:rFonts w:ascii="Times New Roman" w:hAnsi="Times New Roman"/>
          <w:sz w:val="24"/>
          <w:szCs w:val="24"/>
        </w:rPr>
        <w:t xml:space="preserve"> borders can vary substantially.  This creates an environment </w:t>
      </w:r>
      <w:r w:rsidR="00976108">
        <w:rPr>
          <w:rFonts w:ascii="Times New Roman" w:hAnsi="Times New Roman"/>
          <w:sz w:val="24"/>
          <w:szCs w:val="24"/>
        </w:rPr>
        <w:t xml:space="preserve">in which </w:t>
      </w:r>
      <w:r>
        <w:rPr>
          <w:rFonts w:ascii="Times New Roman" w:hAnsi="Times New Roman"/>
          <w:sz w:val="24"/>
          <w:szCs w:val="24"/>
        </w:rPr>
        <w:t xml:space="preserve">consumers </w:t>
      </w:r>
      <w:r w:rsidR="00976108">
        <w:rPr>
          <w:rFonts w:ascii="Times New Roman" w:hAnsi="Times New Roman"/>
          <w:sz w:val="24"/>
          <w:szCs w:val="24"/>
        </w:rPr>
        <w:t>can</w:t>
      </w:r>
      <w:r w:rsidR="000B7A2B">
        <w:rPr>
          <w:rFonts w:ascii="Times New Roman" w:hAnsi="Times New Roman"/>
          <w:sz w:val="24"/>
          <w:szCs w:val="24"/>
        </w:rPr>
        <w:t xml:space="preserve"> save </w:t>
      </w:r>
      <w:r w:rsidR="00973680">
        <w:rPr>
          <w:rFonts w:ascii="Times New Roman" w:hAnsi="Times New Roman"/>
          <w:sz w:val="24"/>
          <w:szCs w:val="24"/>
        </w:rPr>
        <w:t xml:space="preserve">large sums of money by shopping </w:t>
      </w:r>
      <w:r w:rsidR="00976108">
        <w:rPr>
          <w:rFonts w:ascii="Times New Roman" w:hAnsi="Times New Roman"/>
          <w:sz w:val="24"/>
          <w:szCs w:val="24"/>
        </w:rPr>
        <w:t>across the border</w:t>
      </w:r>
      <w:r w:rsidR="00973680">
        <w:rPr>
          <w:rFonts w:ascii="Times New Roman" w:hAnsi="Times New Roman"/>
          <w:sz w:val="24"/>
          <w:szCs w:val="24"/>
        </w:rPr>
        <w:t xml:space="preserve"> and </w:t>
      </w:r>
      <w:r w:rsidR="00976108">
        <w:rPr>
          <w:rFonts w:ascii="Times New Roman" w:hAnsi="Times New Roman"/>
          <w:sz w:val="24"/>
          <w:szCs w:val="24"/>
        </w:rPr>
        <w:t xml:space="preserve">in which large-scale commercial smuggling is profitable.  </w:t>
      </w:r>
      <w:r w:rsidR="004669E0">
        <w:rPr>
          <w:rFonts w:ascii="Times New Roman" w:hAnsi="Times New Roman"/>
          <w:sz w:val="24"/>
          <w:szCs w:val="24"/>
        </w:rPr>
        <w:t>We employ</w:t>
      </w:r>
      <w:r w:rsidR="00976108">
        <w:rPr>
          <w:rFonts w:ascii="Times New Roman" w:hAnsi="Times New Roman"/>
          <w:sz w:val="24"/>
          <w:szCs w:val="24"/>
        </w:rPr>
        <w:t xml:space="preserve"> a new measure of the incentive to smuggle cigarettes</w:t>
      </w:r>
      <w:r w:rsidR="004669E0">
        <w:rPr>
          <w:rFonts w:ascii="Times New Roman" w:hAnsi="Times New Roman"/>
          <w:sz w:val="24"/>
          <w:szCs w:val="24"/>
        </w:rPr>
        <w:t>—distance-scaled tax differential—a</w:t>
      </w:r>
      <w:r w:rsidR="00976108">
        <w:rPr>
          <w:rFonts w:ascii="Times New Roman" w:hAnsi="Times New Roman"/>
          <w:sz w:val="24"/>
          <w:szCs w:val="24"/>
        </w:rPr>
        <w:t xml:space="preserve">dapted from Hall, Lawson, and </w:t>
      </w:r>
      <w:proofErr w:type="spellStart"/>
      <w:r w:rsidR="00976108">
        <w:rPr>
          <w:rFonts w:ascii="Times New Roman" w:hAnsi="Times New Roman"/>
          <w:sz w:val="24"/>
          <w:szCs w:val="24"/>
        </w:rPr>
        <w:t>Skipton</w:t>
      </w:r>
      <w:proofErr w:type="spellEnd"/>
      <w:r w:rsidR="00976108">
        <w:rPr>
          <w:rFonts w:ascii="Times New Roman" w:hAnsi="Times New Roman"/>
          <w:sz w:val="24"/>
          <w:szCs w:val="24"/>
        </w:rPr>
        <w:t xml:space="preserve"> (2011)</w:t>
      </w:r>
      <w:r w:rsidR="004669E0">
        <w:rPr>
          <w:rFonts w:ascii="Times New Roman" w:hAnsi="Times New Roman"/>
          <w:sz w:val="24"/>
          <w:szCs w:val="24"/>
        </w:rPr>
        <w:t xml:space="preserve"> we estimate cigarette demand controlling for multiple forms of spatial dependence.  Consistent with the existing literature, we find that tax differentials predictably lead to changes in legal sales, implying a large degree of cigarette smuggling.</w:t>
      </w:r>
      <w:r w:rsidR="009535E7">
        <w:rPr>
          <w:rFonts w:ascii="Times New Roman" w:hAnsi="Times New Roman"/>
          <w:sz w:val="24"/>
          <w:szCs w:val="24"/>
        </w:rPr>
        <w:br/>
      </w:r>
    </w:p>
    <w:p w:rsidR="009535E7" w:rsidRDefault="009535E7">
      <w:pPr>
        <w:spacing w:after="0" w:line="240" w:lineRule="auto"/>
        <w:rPr>
          <w:rFonts w:ascii="Times New Roman" w:hAnsi="Times New Roman"/>
          <w:sz w:val="24"/>
          <w:szCs w:val="24"/>
        </w:rPr>
      </w:pPr>
    </w:p>
    <w:p w:rsidR="009535E7" w:rsidRDefault="009535E7">
      <w:pPr>
        <w:spacing w:after="0" w:line="240" w:lineRule="auto"/>
        <w:rPr>
          <w:rFonts w:ascii="Times New Roman" w:hAnsi="Times New Roman"/>
          <w:sz w:val="24"/>
          <w:szCs w:val="24"/>
        </w:rPr>
      </w:pPr>
      <w:r>
        <w:rPr>
          <w:rFonts w:ascii="Times New Roman" w:hAnsi="Times New Roman"/>
          <w:b/>
          <w:bCs/>
          <w:sz w:val="24"/>
          <w:szCs w:val="24"/>
        </w:rPr>
        <w:t>Keywords</w:t>
      </w:r>
      <w:r>
        <w:rPr>
          <w:rFonts w:ascii="Times New Roman" w:hAnsi="Times New Roman"/>
          <w:sz w:val="24"/>
          <w:szCs w:val="24"/>
        </w:rPr>
        <w:t xml:space="preserve">: </w:t>
      </w:r>
      <w:r w:rsidR="00291080">
        <w:rPr>
          <w:rFonts w:ascii="Times New Roman" w:hAnsi="Times New Roman"/>
          <w:sz w:val="24"/>
          <w:szCs w:val="24"/>
        </w:rPr>
        <w:t>Excise Taxation, Cigarettes, Smuggling, Spatial Model</w:t>
      </w:r>
    </w:p>
    <w:p w:rsidR="009535E7" w:rsidRDefault="009535E7">
      <w:pPr>
        <w:spacing w:after="0" w:line="240" w:lineRule="auto"/>
        <w:rPr>
          <w:rFonts w:ascii="Times New Roman" w:hAnsi="Times New Roman"/>
          <w:sz w:val="24"/>
          <w:szCs w:val="24"/>
        </w:rPr>
      </w:pPr>
    </w:p>
    <w:p w:rsidR="009535E7" w:rsidRDefault="009535E7">
      <w:pPr>
        <w:spacing w:after="0" w:line="240" w:lineRule="auto"/>
        <w:rPr>
          <w:rFonts w:ascii="Times New Roman" w:hAnsi="Times New Roman"/>
          <w:sz w:val="24"/>
          <w:szCs w:val="24"/>
        </w:rPr>
      </w:pPr>
    </w:p>
    <w:p w:rsidR="009535E7" w:rsidRDefault="009535E7">
      <w:pPr>
        <w:spacing w:after="0" w:line="240" w:lineRule="auto"/>
        <w:rPr>
          <w:rFonts w:ascii="Times New Roman" w:hAnsi="Times New Roman"/>
          <w:sz w:val="24"/>
          <w:szCs w:val="24"/>
        </w:rPr>
      </w:pPr>
    </w:p>
    <w:p w:rsidR="009535E7" w:rsidRDefault="009535E7">
      <w:pPr>
        <w:spacing w:after="0" w:line="240" w:lineRule="auto"/>
        <w:rPr>
          <w:rFonts w:ascii="Times New Roman" w:hAnsi="Times New Roman"/>
          <w:sz w:val="24"/>
          <w:szCs w:val="24"/>
        </w:rPr>
      </w:pPr>
    </w:p>
    <w:p w:rsidR="009535E7" w:rsidRDefault="009535E7">
      <w:pPr>
        <w:spacing w:after="0" w:line="240" w:lineRule="auto"/>
        <w:rPr>
          <w:rFonts w:ascii="Times New Roman" w:hAnsi="Times New Roman"/>
          <w:sz w:val="24"/>
          <w:szCs w:val="24"/>
        </w:rPr>
      </w:pPr>
    </w:p>
    <w:p w:rsidR="009535E7" w:rsidRDefault="009535E7">
      <w:pPr>
        <w:spacing w:after="0" w:line="240" w:lineRule="auto"/>
        <w:rPr>
          <w:rFonts w:ascii="Times New Roman" w:hAnsi="Times New Roman"/>
          <w:sz w:val="24"/>
          <w:szCs w:val="24"/>
        </w:rPr>
      </w:pPr>
    </w:p>
    <w:p w:rsidR="009535E7" w:rsidRDefault="009535E7">
      <w:pPr>
        <w:spacing w:after="0" w:line="240" w:lineRule="auto"/>
        <w:rPr>
          <w:rFonts w:ascii="Times New Roman" w:hAnsi="Times New Roman"/>
          <w:bCs/>
          <w:sz w:val="32"/>
          <w:szCs w:val="32"/>
        </w:rPr>
        <w:sectPr w:rsidR="009535E7">
          <w:footerReference w:type="even" r:id="rId8"/>
          <w:footerReference w:type="default" r:id="rId9"/>
          <w:footerReference w:type="first" r:id="rId10"/>
          <w:endnotePr>
            <w:numFmt w:val="decimal"/>
          </w:endnotePr>
          <w:type w:val="continuous"/>
          <w:pgSz w:w="12240" w:h="15840"/>
          <w:pgMar w:top="1440" w:right="1440" w:bottom="1440" w:left="1440" w:header="720" w:footer="720" w:gutter="0"/>
          <w:pgNumType w:start="1"/>
          <w:cols w:space="720"/>
          <w:titlePg/>
          <w:docGrid w:linePitch="360"/>
        </w:sectPr>
      </w:pPr>
      <w:r>
        <w:rPr>
          <w:rFonts w:ascii="Times New Roman" w:hAnsi="Times New Roman"/>
          <w:sz w:val="24"/>
          <w:szCs w:val="24"/>
          <w:vertAlign w:val="superscript"/>
        </w:rPr>
        <w:t>*</w:t>
      </w:r>
      <w:r>
        <w:rPr>
          <w:rFonts w:ascii="Times New Roman" w:hAnsi="Times New Roman"/>
        </w:rPr>
        <w:t>Corresponding author.</w:t>
      </w:r>
      <w:r w:rsidR="007738BA">
        <w:rPr>
          <w:rFonts w:ascii="Times New Roman" w:hAnsi="Times New Roman"/>
        </w:rPr>
        <w:t xml:space="preserve">  We are grateful to the Initiative for Public Choice and Market Process</w:t>
      </w:r>
      <w:r w:rsidR="004C63C7">
        <w:rPr>
          <w:rFonts w:ascii="Times New Roman" w:hAnsi="Times New Roman"/>
        </w:rPr>
        <w:t xml:space="preserve"> for providing research support</w:t>
      </w:r>
      <w:r w:rsidR="00B76BB6">
        <w:rPr>
          <w:rFonts w:ascii="Times New Roman" w:hAnsi="Times New Roman"/>
        </w:rPr>
        <w:t xml:space="preserve"> for this project.</w:t>
      </w:r>
    </w:p>
    <w:p w:rsidR="009535E7" w:rsidRDefault="00924930">
      <w:pPr>
        <w:spacing w:after="0" w:line="480" w:lineRule="auto"/>
        <w:rPr>
          <w:rFonts w:ascii="Times New Roman" w:hAnsi="Times New Roman"/>
          <w:bCs/>
          <w:sz w:val="32"/>
          <w:szCs w:val="32"/>
        </w:rPr>
      </w:pPr>
      <w:r>
        <w:rPr>
          <w:rFonts w:ascii="Times New Roman" w:hAnsi="Times New Roman"/>
          <w:bCs/>
          <w:sz w:val="32"/>
          <w:szCs w:val="32"/>
        </w:rPr>
        <w:lastRenderedPageBreak/>
        <w:t>1</w:t>
      </w:r>
      <w:r w:rsidR="00291080" w:rsidRPr="00291080">
        <w:rPr>
          <w:rFonts w:ascii="Times New Roman" w:hAnsi="Times New Roman"/>
          <w:bCs/>
          <w:sz w:val="32"/>
          <w:szCs w:val="32"/>
        </w:rPr>
        <w:t xml:space="preserve">. </w:t>
      </w:r>
      <w:r w:rsidR="00291080">
        <w:rPr>
          <w:rFonts w:ascii="Times New Roman" w:hAnsi="Times New Roman"/>
          <w:bCs/>
          <w:sz w:val="32"/>
          <w:szCs w:val="32"/>
        </w:rPr>
        <w:t>Introduction</w:t>
      </w:r>
    </w:p>
    <w:p w:rsidR="007175FC" w:rsidRDefault="00823360">
      <w:pPr>
        <w:spacing w:after="0" w:line="480" w:lineRule="auto"/>
        <w:rPr>
          <w:rFonts w:ascii="Times New Roman" w:hAnsi="Times New Roman"/>
          <w:sz w:val="24"/>
          <w:szCs w:val="24"/>
        </w:rPr>
      </w:pPr>
      <w:r>
        <w:rPr>
          <w:rFonts w:ascii="Times New Roman" w:hAnsi="Times New Roman"/>
          <w:sz w:val="24"/>
          <w:szCs w:val="24"/>
        </w:rPr>
        <w:t>In efforts to squash</w:t>
      </w:r>
      <w:r w:rsidR="00AA2DCE">
        <w:rPr>
          <w:rFonts w:ascii="Times New Roman" w:hAnsi="Times New Roman"/>
          <w:sz w:val="24"/>
          <w:szCs w:val="24"/>
        </w:rPr>
        <w:t xml:space="preserve"> their</w:t>
      </w:r>
      <w:r>
        <w:rPr>
          <w:rFonts w:ascii="Times New Roman" w:hAnsi="Times New Roman"/>
          <w:sz w:val="24"/>
          <w:szCs w:val="24"/>
        </w:rPr>
        <w:t xml:space="preserve"> recent budget shortfalls, states have </w:t>
      </w:r>
      <w:r w:rsidR="00AA2DCE">
        <w:rPr>
          <w:rFonts w:ascii="Times New Roman" w:hAnsi="Times New Roman"/>
          <w:sz w:val="24"/>
          <w:szCs w:val="24"/>
        </w:rPr>
        <w:t xml:space="preserve">increasingly opted </w:t>
      </w:r>
      <w:r>
        <w:rPr>
          <w:rFonts w:ascii="Times New Roman" w:hAnsi="Times New Roman"/>
          <w:sz w:val="24"/>
          <w:szCs w:val="24"/>
        </w:rPr>
        <w:t xml:space="preserve">to raise their excise tax on cigarettes.  </w:t>
      </w:r>
      <w:r w:rsidR="00AA2DCE">
        <w:rPr>
          <w:rFonts w:ascii="Times New Roman" w:hAnsi="Times New Roman"/>
          <w:sz w:val="24"/>
          <w:szCs w:val="24"/>
        </w:rPr>
        <w:t>F</w:t>
      </w:r>
      <w:r w:rsidR="00984846">
        <w:rPr>
          <w:rFonts w:ascii="Times New Roman" w:hAnsi="Times New Roman"/>
          <w:sz w:val="24"/>
          <w:szCs w:val="24"/>
        </w:rPr>
        <w:t xml:space="preserve">rom year 2000 through 2010, there were a total of 105 increases in state tax rates on cigarettes in addition to the two federal tax rate increases.  </w:t>
      </w:r>
      <w:r w:rsidR="00AA2DCE">
        <w:rPr>
          <w:rFonts w:ascii="Times New Roman" w:hAnsi="Times New Roman"/>
          <w:sz w:val="24"/>
          <w:szCs w:val="24"/>
        </w:rPr>
        <w:t>Furthermore, a</w:t>
      </w:r>
      <w:r w:rsidR="00984846">
        <w:rPr>
          <w:rFonts w:ascii="Times New Roman" w:hAnsi="Times New Roman"/>
          <w:sz w:val="24"/>
          <w:szCs w:val="24"/>
        </w:rPr>
        <w:t xml:space="preserve"> total of 27 states have increased their tax rate on cigarettes from 2007 through 2010 (34 total state tax increases over that span).  </w:t>
      </w:r>
      <w:r w:rsidR="00AA2DCE">
        <w:rPr>
          <w:rFonts w:ascii="Times New Roman" w:hAnsi="Times New Roman"/>
          <w:sz w:val="24"/>
          <w:szCs w:val="24"/>
        </w:rPr>
        <w:t>A</w:t>
      </w:r>
      <w:r w:rsidR="00984846">
        <w:rPr>
          <w:rFonts w:ascii="Times New Roman" w:hAnsi="Times New Roman"/>
          <w:sz w:val="24"/>
          <w:szCs w:val="24"/>
        </w:rPr>
        <w:t xml:space="preserve">s is indicated </w:t>
      </w:r>
      <w:r w:rsidR="00AA2DCE">
        <w:rPr>
          <w:rFonts w:ascii="Times New Roman" w:hAnsi="Times New Roman"/>
          <w:sz w:val="24"/>
          <w:szCs w:val="24"/>
        </w:rPr>
        <w:t>in</w:t>
      </w:r>
      <w:r w:rsidR="00984846">
        <w:rPr>
          <w:rFonts w:ascii="Times New Roman" w:hAnsi="Times New Roman"/>
          <w:sz w:val="24"/>
          <w:szCs w:val="24"/>
        </w:rPr>
        <w:t xml:space="preserve"> Figure 1, states have been more aggressive with their cigarette tax increases since year 2000, relative to the experience over the previous decade.  </w:t>
      </w:r>
      <w:r w:rsidR="00B632EA">
        <w:rPr>
          <w:rFonts w:ascii="Times New Roman" w:hAnsi="Times New Roman"/>
          <w:sz w:val="24"/>
          <w:szCs w:val="24"/>
        </w:rPr>
        <w:t xml:space="preserve">With these tax increases has come a greater spread in tax rates.  For example, in 1990 the lowest state cigarette tax was two cents/pack (NC) while the highest was </w:t>
      </w:r>
      <w:r w:rsidR="00627D2A">
        <w:rPr>
          <w:rFonts w:ascii="Times New Roman" w:hAnsi="Times New Roman"/>
          <w:sz w:val="24"/>
          <w:szCs w:val="24"/>
        </w:rPr>
        <w:t xml:space="preserve">20 times greater at </w:t>
      </w:r>
      <w:r w:rsidR="00B632EA">
        <w:rPr>
          <w:rFonts w:ascii="Times New Roman" w:hAnsi="Times New Roman"/>
          <w:sz w:val="24"/>
          <w:szCs w:val="24"/>
        </w:rPr>
        <w:t>40 cents/pack (CT).  In 2009, on the other hand, South Carolina imposed the lowest state tax of seven cents/pack while Rhode Island</w:t>
      </w:r>
      <w:r w:rsidR="00627D2A">
        <w:rPr>
          <w:rFonts w:ascii="Times New Roman" w:hAnsi="Times New Roman"/>
          <w:sz w:val="24"/>
          <w:szCs w:val="24"/>
        </w:rPr>
        <w:t>’s tax was nearly 50 times greater at</w:t>
      </w:r>
      <w:r w:rsidR="00B632EA">
        <w:rPr>
          <w:rFonts w:ascii="Times New Roman" w:hAnsi="Times New Roman"/>
          <w:sz w:val="24"/>
          <w:szCs w:val="24"/>
        </w:rPr>
        <w:t xml:space="preserve"> 346 cents/pack</w:t>
      </w:r>
      <w:r w:rsidR="007175FC">
        <w:rPr>
          <w:rFonts w:ascii="Times New Roman" w:hAnsi="Times New Roman"/>
          <w:sz w:val="24"/>
          <w:szCs w:val="24"/>
        </w:rPr>
        <w:t>.  Given the tax increases and the resulting sizable</w:t>
      </w:r>
      <w:r w:rsidR="00BA011F">
        <w:rPr>
          <w:rFonts w:ascii="Times New Roman" w:hAnsi="Times New Roman"/>
          <w:sz w:val="24"/>
          <w:szCs w:val="24"/>
        </w:rPr>
        <w:t xml:space="preserve"> tax differentials </w:t>
      </w:r>
      <w:r w:rsidR="007175FC">
        <w:rPr>
          <w:rFonts w:ascii="Times New Roman" w:hAnsi="Times New Roman"/>
          <w:sz w:val="24"/>
          <w:szCs w:val="24"/>
        </w:rPr>
        <w:t xml:space="preserve">across state lines, the market is </w:t>
      </w:r>
      <w:proofErr w:type="gramStart"/>
      <w:r w:rsidR="007175FC">
        <w:rPr>
          <w:rFonts w:ascii="Times New Roman" w:hAnsi="Times New Roman"/>
          <w:sz w:val="24"/>
          <w:szCs w:val="24"/>
        </w:rPr>
        <w:t>prime</w:t>
      </w:r>
      <w:proofErr w:type="gramEnd"/>
      <w:r w:rsidR="007175FC">
        <w:rPr>
          <w:rFonts w:ascii="Times New Roman" w:hAnsi="Times New Roman"/>
          <w:sz w:val="24"/>
          <w:szCs w:val="24"/>
        </w:rPr>
        <w:t xml:space="preserve"> for smuggling activity.</w:t>
      </w:r>
    </w:p>
    <w:p w:rsidR="00984846" w:rsidRDefault="00984846">
      <w:pPr>
        <w:spacing w:after="0" w:line="480" w:lineRule="auto"/>
        <w:rPr>
          <w:rFonts w:ascii="Times New Roman" w:hAnsi="Times New Roman"/>
          <w:sz w:val="24"/>
          <w:szCs w:val="24"/>
        </w:rPr>
      </w:pPr>
    </w:p>
    <w:p w:rsidR="00984846" w:rsidRDefault="00984846" w:rsidP="00984846">
      <w:pPr>
        <w:spacing w:after="0" w:line="480" w:lineRule="auto"/>
        <w:jc w:val="center"/>
        <w:rPr>
          <w:rFonts w:ascii="Times New Roman" w:hAnsi="Times New Roman"/>
          <w:sz w:val="24"/>
          <w:szCs w:val="24"/>
        </w:rPr>
      </w:pPr>
      <w:r>
        <w:rPr>
          <w:rFonts w:ascii="Times New Roman" w:hAnsi="Times New Roman"/>
          <w:sz w:val="24"/>
          <w:szCs w:val="24"/>
        </w:rPr>
        <w:t>[Figure 1 about here]</w:t>
      </w:r>
    </w:p>
    <w:p w:rsidR="00823360" w:rsidRDefault="00823360">
      <w:pPr>
        <w:spacing w:after="0" w:line="480" w:lineRule="auto"/>
        <w:rPr>
          <w:rFonts w:ascii="Times New Roman" w:hAnsi="Times New Roman"/>
          <w:sz w:val="24"/>
          <w:szCs w:val="24"/>
        </w:rPr>
      </w:pPr>
    </w:p>
    <w:p w:rsidR="00627D2A" w:rsidRDefault="00627D2A">
      <w:pPr>
        <w:spacing w:after="0" w:line="480" w:lineRule="auto"/>
        <w:rPr>
          <w:rFonts w:ascii="Times New Roman" w:hAnsi="Times New Roman"/>
          <w:sz w:val="24"/>
          <w:szCs w:val="24"/>
        </w:rPr>
      </w:pPr>
      <w:r>
        <w:rPr>
          <w:rFonts w:ascii="Times New Roman" w:hAnsi="Times New Roman"/>
          <w:sz w:val="24"/>
          <w:szCs w:val="24"/>
        </w:rPr>
        <w:tab/>
      </w:r>
      <w:r w:rsidR="007175FC">
        <w:rPr>
          <w:rFonts w:ascii="Times New Roman" w:hAnsi="Times New Roman"/>
          <w:sz w:val="24"/>
          <w:szCs w:val="24"/>
        </w:rPr>
        <w:t xml:space="preserve">Cigarette smuggling manifests itself in two primary manners: casual smuggling and commercial smuggling.  Casual smuggling involves the ultimate consumer crossing geographic borders </w:t>
      </w:r>
      <w:r w:rsidR="00F225E4">
        <w:rPr>
          <w:rFonts w:ascii="Times New Roman" w:hAnsi="Times New Roman"/>
          <w:sz w:val="24"/>
          <w:szCs w:val="24"/>
        </w:rPr>
        <w:t xml:space="preserve">to purchase cigarettes at a lower price in the neighboring region.  Such smuggling is low-volume per trip and primarily for personal consumption.  Tax differentials across state lines make for the most prominent opportunity for this type of smuggling.  However, as suggested by Galbraith and </w:t>
      </w:r>
      <w:proofErr w:type="spellStart"/>
      <w:r w:rsidR="00F225E4">
        <w:rPr>
          <w:rFonts w:ascii="Times New Roman" w:hAnsi="Times New Roman"/>
          <w:sz w:val="24"/>
          <w:szCs w:val="24"/>
        </w:rPr>
        <w:t>Kaiserman</w:t>
      </w:r>
      <w:proofErr w:type="spellEnd"/>
      <w:r w:rsidR="000A218B">
        <w:rPr>
          <w:rFonts w:ascii="Times New Roman" w:hAnsi="Times New Roman"/>
          <w:sz w:val="24"/>
          <w:szCs w:val="24"/>
        </w:rPr>
        <w:t xml:space="preserve"> (1997),</w:t>
      </w:r>
      <w:r w:rsidR="00F225E4">
        <w:rPr>
          <w:rFonts w:ascii="Times New Roman" w:hAnsi="Times New Roman"/>
          <w:sz w:val="24"/>
          <w:szCs w:val="24"/>
        </w:rPr>
        <w:t xml:space="preserve"> smuggling across international borders—namely the U.S.-Canadian border in the aforementioned paper—can be significant.  </w:t>
      </w:r>
      <w:r w:rsidR="00711457">
        <w:rPr>
          <w:rFonts w:ascii="Times New Roman" w:hAnsi="Times New Roman"/>
          <w:sz w:val="24"/>
          <w:szCs w:val="24"/>
        </w:rPr>
        <w:t>Finally, small p</w:t>
      </w:r>
      <w:r w:rsidR="00F225E4">
        <w:rPr>
          <w:rFonts w:ascii="Times New Roman" w:hAnsi="Times New Roman"/>
          <w:sz w:val="24"/>
          <w:szCs w:val="24"/>
        </w:rPr>
        <w:t xml:space="preserve">urchases from </w:t>
      </w:r>
      <w:r w:rsidR="00F225E4">
        <w:rPr>
          <w:rFonts w:ascii="Times New Roman" w:hAnsi="Times New Roman"/>
          <w:sz w:val="24"/>
          <w:szCs w:val="24"/>
        </w:rPr>
        <w:lastRenderedPageBreak/>
        <w:t xml:space="preserve">Native American Reservations and from military bases made by or for non-members and non-military personnel would also fall under </w:t>
      </w:r>
      <w:r w:rsidR="00711457">
        <w:rPr>
          <w:rFonts w:ascii="Times New Roman" w:hAnsi="Times New Roman"/>
          <w:sz w:val="24"/>
          <w:szCs w:val="24"/>
        </w:rPr>
        <w:t>the</w:t>
      </w:r>
      <w:r w:rsidR="00F225E4">
        <w:rPr>
          <w:rFonts w:ascii="Times New Roman" w:hAnsi="Times New Roman"/>
          <w:sz w:val="24"/>
          <w:szCs w:val="24"/>
        </w:rPr>
        <w:t xml:space="preserve"> category</w:t>
      </w:r>
      <w:r w:rsidR="00711457">
        <w:rPr>
          <w:rFonts w:ascii="Times New Roman" w:hAnsi="Times New Roman"/>
          <w:sz w:val="24"/>
          <w:szCs w:val="24"/>
        </w:rPr>
        <w:t xml:space="preserve"> of casual smuggling</w:t>
      </w:r>
      <w:r w:rsidR="00F225E4">
        <w:rPr>
          <w:rFonts w:ascii="Times New Roman" w:hAnsi="Times New Roman"/>
          <w:sz w:val="24"/>
          <w:szCs w:val="24"/>
        </w:rPr>
        <w:t xml:space="preserve">.  Commercial smuggling, on the other hand, occurs on a large scale and is generally carried out </w:t>
      </w:r>
      <w:r w:rsidR="00E6787D">
        <w:rPr>
          <w:rFonts w:ascii="Times New Roman" w:hAnsi="Times New Roman"/>
          <w:sz w:val="24"/>
          <w:szCs w:val="24"/>
        </w:rPr>
        <w:t>by organized crime syndicates.  Such smuggling includes</w:t>
      </w:r>
      <w:r w:rsidR="00F269E1">
        <w:rPr>
          <w:rFonts w:ascii="Times New Roman" w:hAnsi="Times New Roman"/>
          <w:sz w:val="24"/>
          <w:szCs w:val="24"/>
        </w:rPr>
        <w:t>:</w:t>
      </w:r>
      <w:r w:rsidR="00E6787D">
        <w:rPr>
          <w:rFonts w:ascii="Times New Roman" w:hAnsi="Times New Roman"/>
          <w:sz w:val="24"/>
          <w:szCs w:val="24"/>
        </w:rPr>
        <w:t xml:space="preserve"> the mass purchase of cigarettes in the low-tax</w:t>
      </w:r>
      <w:r w:rsidR="00F269E1">
        <w:rPr>
          <w:rFonts w:ascii="Times New Roman" w:hAnsi="Times New Roman"/>
          <w:sz w:val="24"/>
          <w:szCs w:val="24"/>
        </w:rPr>
        <w:t xml:space="preserve"> tobacco</w:t>
      </w:r>
      <w:r w:rsidR="00E6787D">
        <w:rPr>
          <w:rFonts w:ascii="Times New Roman" w:hAnsi="Times New Roman"/>
          <w:sz w:val="24"/>
          <w:szCs w:val="24"/>
        </w:rPr>
        <w:t xml:space="preserve"> states </w:t>
      </w:r>
      <w:r w:rsidR="00F269E1">
        <w:rPr>
          <w:rFonts w:ascii="Times New Roman" w:hAnsi="Times New Roman"/>
          <w:sz w:val="24"/>
          <w:szCs w:val="24"/>
        </w:rPr>
        <w:t>(</w:t>
      </w:r>
      <w:r w:rsidR="00711457">
        <w:rPr>
          <w:rFonts w:ascii="Times New Roman" w:hAnsi="Times New Roman"/>
          <w:sz w:val="24"/>
          <w:szCs w:val="24"/>
        </w:rPr>
        <w:t xml:space="preserve">such as </w:t>
      </w:r>
      <w:r w:rsidR="00E6787D">
        <w:rPr>
          <w:rFonts w:ascii="Times New Roman" w:hAnsi="Times New Roman"/>
          <w:sz w:val="24"/>
          <w:szCs w:val="24"/>
        </w:rPr>
        <w:t xml:space="preserve">North Carolina </w:t>
      </w:r>
      <w:r w:rsidR="00711457">
        <w:rPr>
          <w:rFonts w:ascii="Times New Roman" w:hAnsi="Times New Roman"/>
          <w:sz w:val="24"/>
          <w:szCs w:val="24"/>
        </w:rPr>
        <w:t xml:space="preserve">and South Carolina, </w:t>
      </w:r>
      <w:r w:rsidR="00E6787D">
        <w:rPr>
          <w:rFonts w:ascii="Times New Roman" w:hAnsi="Times New Roman"/>
          <w:sz w:val="24"/>
          <w:szCs w:val="24"/>
        </w:rPr>
        <w:t xml:space="preserve">neither of which affix </w:t>
      </w:r>
      <w:r w:rsidR="00711457">
        <w:rPr>
          <w:rFonts w:ascii="Times New Roman" w:hAnsi="Times New Roman"/>
          <w:sz w:val="24"/>
          <w:szCs w:val="24"/>
        </w:rPr>
        <w:t>a tax-paid stamp on cigarettes)</w:t>
      </w:r>
      <w:r w:rsidR="00F269E1">
        <w:rPr>
          <w:rFonts w:ascii="Times New Roman" w:hAnsi="Times New Roman"/>
          <w:sz w:val="24"/>
          <w:szCs w:val="24"/>
        </w:rPr>
        <w:t xml:space="preserve">, placing a counterfeit tax-paid stamp for another state on the packs, and re-selling the cigarettes in legal markets in high-tax states, profiting on the tax differential—this is known as “over-the-road” smuggling—or </w:t>
      </w:r>
      <w:r w:rsidR="00711457">
        <w:rPr>
          <w:rFonts w:ascii="Times New Roman" w:hAnsi="Times New Roman"/>
          <w:sz w:val="24"/>
          <w:szCs w:val="24"/>
        </w:rPr>
        <w:t>count</w:t>
      </w:r>
      <w:r w:rsidR="00F269E1">
        <w:rPr>
          <w:rFonts w:ascii="Times New Roman" w:hAnsi="Times New Roman"/>
          <w:sz w:val="24"/>
          <w:szCs w:val="24"/>
        </w:rPr>
        <w:t xml:space="preserve">erfeiting the actual cigarettes, </w:t>
      </w:r>
      <w:r w:rsidR="00711457">
        <w:rPr>
          <w:rFonts w:ascii="Times New Roman" w:hAnsi="Times New Roman"/>
          <w:sz w:val="24"/>
          <w:szCs w:val="24"/>
        </w:rPr>
        <w:t>packaging,</w:t>
      </w:r>
      <w:r w:rsidR="00F269E1">
        <w:rPr>
          <w:rFonts w:ascii="Times New Roman" w:hAnsi="Times New Roman"/>
          <w:sz w:val="24"/>
          <w:szCs w:val="24"/>
        </w:rPr>
        <w:t xml:space="preserve"> and tax-paid stamps an</w:t>
      </w:r>
      <w:r w:rsidR="00711457">
        <w:rPr>
          <w:rFonts w:ascii="Times New Roman" w:hAnsi="Times New Roman"/>
          <w:sz w:val="24"/>
          <w:szCs w:val="24"/>
        </w:rPr>
        <w:t xml:space="preserve">d then illegally selling the cigarettes in legal markets.  </w:t>
      </w:r>
    </w:p>
    <w:p w:rsidR="0054184D" w:rsidRDefault="00F269E1">
      <w:pPr>
        <w:spacing w:after="0" w:line="480" w:lineRule="auto"/>
        <w:rPr>
          <w:rFonts w:ascii="Times New Roman" w:hAnsi="Times New Roman"/>
          <w:sz w:val="24"/>
          <w:szCs w:val="24"/>
        </w:rPr>
      </w:pPr>
      <w:r>
        <w:rPr>
          <w:rFonts w:ascii="Times New Roman" w:hAnsi="Times New Roman"/>
          <w:sz w:val="24"/>
          <w:szCs w:val="24"/>
        </w:rPr>
        <w:tab/>
        <w:t xml:space="preserve">The </w:t>
      </w:r>
      <w:r w:rsidR="00162AD2">
        <w:rPr>
          <w:rFonts w:ascii="Times New Roman" w:hAnsi="Times New Roman"/>
          <w:sz w:val="24"/>
          <w:szCs w:val="24"/>
        </w:rPr>
        <w:t xml:space="preserve">primary </w:t>
      </w:r>
      <w:r>
        <w:rPr>
          <w:rFonts w:ascii="Times New Roman" w:hAnsi="Times New Roman"/>
          <w:sz w:val="24"/>
          <w:szCs w:val="24"/>
        </w:rPr>
        <w:t xml:space="preserve">goal of this paper is to </w:t>
      </w:r>
      <w:r w:rsidR="00162AD2">
        <w:rPr>
          <w:rFonts w:ascii="Times New Roman" w:hAnsi="Times New Roman"/>
          <w:sz w:val="24"/>
          <w:szCs w:val="24"/>
        </w:rPr>
        <w:t>add to the existing evidence regarding tax-induced smuggling by employing a new gravity-model-type tax differe</w:t>
      </w:r>
      <w:r w:rsidR="00715D56">
        <w:rPr>
          <w:rFonts w:ascii="Times New Roman" w:hAnsi="Times New Roman"/>
          <w:sz w:val="24"/>
          <w:szCs w:val="24"/>
        </w:rPr>
        <w:t>ntial variable adapted from</w:t>
      </w:r>
      <w:r w:rsidR="00162AD2">
        <w:rPr>
          <w:rFonts w:ascii="Times New Roman" w:hAnsi="Times New Roman"/>
          <w:sz w:val="24"/>
          <w:szCs w:val="24"/>
        </w:rPr>
        <w:t xml:space="preserve"> Hall, Lawson, and </w:t>
      </w:r>
      <w:proofErr w:type="spellStart"/>
      <w:r w:rsidR="00162AD2">
        <w:rPr>
          <w:rFonts w:ascii="Times New Roman" w:hAnsi="Times New Roman"/>
          <w:sz w:val="24"/>
          <w:szCs w:val="24"/>
        </w:rPr>
        <w:t>Skipton</w:t>
      </w:r>
      <w:proofErr w:type="spellEnd"/>
      <w:r w:rsidR="00162AD2">
        <w:rPr>
          <w:rFonts w:ascii="Times New Roman" w:hAnsi="Times New Roman"/>
          <w:sz w:val="24"/>
          <w:szCs w:val="24"/>
        </w:rPr>
        <w:t xml:space="preserve"> (2011) in the trade openness literature.  </w:t>
      </w:r>
      <w:r w:rsidR="0054184D">
        <w:rPr>
          <w:rFonts w:ascii="Times New Roman" w:hAnsi="Times New Roman"/>
          <w:sz w:val="24"/>
          <w:szCs w:val="24"/>
        </w:rPr>
        <w:t>The paper proceeds as follows: Section 2 will discuss the empirical models of the existing literature and continue by motivating the model and describing the data used in the current analysis.  Section 3 discusses the estimation approaches employed and discusses the results.  Finally, concluding remarks are offered in Section 4</w:t>
      </w:r>
      <w:r w:rsidR="00AE648A">
        <w:rPr>
          <w:rFonts w:ascii="Times New Roman" w:hAnsi="Times New Roman"/>
          <w:sz w:val="24"/>
          <w:szCs w:val="24"/>
        </w:rPr>
        <w:t>.</w:t>
      </w:r>
    </w:p>
    <w:p w:rsidR="00F269E1" w:rsidRDefault="00F269E1">
      <w:pPr>
        <w:spacing w:after="0" w:line="480" w:lineRule="auto"/>
        <w:rPr>
          <w:rFonts w:ascii="Times New Roman" w:hAnsi="Times New Roman"/>
          <w:sz w:val="24"/>
          <w:szCs w:val="24"/>
        </w:rPr>
      </w:pPr>
    </w:p>
    <w:p w:rsidR="00291080" w:rsidRDefault="00924930" w:rsidP="00291080">
      <w:pPr>
        <w:spacing w:after="0" w:line="480" w:lineRule="auto"/>
        <w:rPr>
          <w:rFonts w:ascii="Times New Roman" w:hAnsi="Times New Roman"/>
          <w:sz w:val="24"/>
          <w:szCs w:val="24"/>
        </w:rPr>
      </w:pPr>
      <w:r>
        <w:rPr>
          <w:rFonts w:ascii="Times New Roman" w:hAnsi="Times New Roman"/>
          <w:bCs/>
          <w:sz w:val="32"/>
          <w:szCs w:val="32"/>
        </w:rPr>
        <w:t>2</w:t>
      </w:r>
      <w:r w:rsidR="00291080" w:rsidRPr="00291080">
        <w:rPr>
          <w:rFonts w:ascii="Times New Roman" w:hAnsi="Times New Roman"/>
          <w:bCs/>
          <w:sz w:val="32"/>
          <w:szCs w:val="32"/>
        </w:rPr>
        <w:t xml:space="preserve">. </w:t>
      </w:r>
      <w:r w:rsidR="00291080">
        <w:rPr>
          <w:rFonts w:ascii="Times New Roman" w:hAnsi="Times New Roman"/>
          <w:bCs/>
          <w:sz w:val="32"/>
          <w:szCs w:val="32"/>
        </w:rPr>
        <w:t>Model and Data</w:t>
      </w:r>
    </w:p>
    <w:p w:rsidR="009B0067" w:rsidRDefault="00431A3F" w:rsidP="00431A3F">
      <w:pPr>
        <w:spacing w:after="0" w:line="480" w:lineRule="auto"/>
        <w:rPr>
          <w:rFonts w:ascii="Times New Roman" w:hAnsi="Times New Roman"/>
          <w:sz w:val="24"/>
          <w:szCs w:val="24"/>
        </w:rPr>
      </w:pPr>
      <w:bookmarkStart w:id="0" w:name="OLE_LINK1"/>
      <w:bookmarkStart w:id="1" w:name="OLE_LINK2"/>
      <w:r>
        <w:rPr>
          <w:rFonts w:ascii="Times New Roman" w:hAnsi="Times New Roman"/>
          <w:sz w:val="24"/>
          <w:szCs w:val="24"/>
        </w:rPr>
        <w:tab/>
        <w:t xml:space="preserve">Numerous methods have been employed empirically to quantify the tax-induced smuggling.  </w:t>
      </w:r>
      <w:r w:rsidR="00F269E1">
        <w:rPr>
          <w:rFonts w:ascii="Times New Roman" w:hAnsi="Times New Roman"/>
          <w:sz w:val="24"/>
          <w:szCs w:val="24"/>
        </w:rPr>
        <w:t>T</w:t>
      </w:r>
      <w:r>
        <w:rPr>
          <w:rFonts w:ascii="Times New Roman" w:hAnsi="Times New Roman"/>
          <w:sz w:val="24"/>
          <w:szCs w:val="24"/>
        </w:rPr>
        <w:t xml:space="preserve">he approach used by </w:t>
      </w:r>
      <w:proofErr w:type="spellStart"/>
      <w:r>
        <w:rPr>
          <w:rFonts w:ascii="Times New Roman" w:hAnsi="Times New Roman"/>
          <w:sz w:val="24"/>
          <w:szCs w:val="24"/>
        </w:rPr>
        <w:t>LaFaive</w:t>
      </w:r>
      <w:proofErr w:type="spellEnd"/>
      <w:r>
        <w:rPr>
          <w:rFonts w:ascii="Times New Roman" w:hAnsi="Times New Roman"/>
          <w:sz w:val="24"/>
          <w:szCs w:val="24"/>
        </w:rPr>
        <w:t xml:space="preserve">, </w:t>
      </w:r>
      <w:proofErr w:type="spellStart"/>
      <w:r>
        <w:rPr>
          <w:rFonts w:ascii="Times New Roman" w:hAnsi="Times New Roman"/>
          <w:sz w:val="24"/>
          <w:szCs w:val="24"/>
        </w:rPr>
        <w:t>Fleenor</w:t>
      </w:r>
      <w:proofErr w:type="spellEnd"/>
      <w:r>
        <w:rPr>
          <w:rFonts w:ascii="Times New Roman" w:hAnsi="Times New Roman"/>
          <w:sz w:val="24"/>
          <w:szCs w:val="24"/>
        </w:rPr>
        <w:t xml:space="preserve">, and Nesbit (2008) and </w:t>
      </w:r>
      <w:proofErr w:type="spellStart"/>
      <w:r>
        <w:rPr>
          <w:rFonts w:ascii="Times New Roman" w:hAnsi="Times New Roman"/>
          <w:sz w:val="24"/>
          <w:szCs w:val="24"/>
        </w:rPr>
        <w:t>LaFaive</w:t>
      </w:r>
      <w:proofErr w:type="spellEnd"/>
      <w:r>
        <w:rPr>
          <w:rFonts w:ascii="Times New Roman" w:hAnsi="Times New Roman"/>
          <w:sz w:val="24"/>
          <w:szCs w:val="24"/>
        </w:rPr>
        <w:t xml:space="preserve"> and Nesbit (2010) generate</w:t>
      </w:r>
      <w:r w:rsidR="0054184D">
        <w:rPr>
          <w:rFonts w:ascii="Times New Roman" w:hAnsi="Times New Roman"/>
          <w:sz w:val="24"/>
          <w:szCs w:val="24"/>
        </w:rPr>
        <w:t>s individual</w:t>
      </w:r>
      <w:r>
        <w:rPr>
          <w:rFonts w:ascii="Times New Roman" w:hAnsi="Times New Roman"/>
          <w:sz w:val="24"/>
          <w:szCs w:val="24"/>
        </w:rPr>
        <w:t xml:space="preserve"> e</w:t>
      </w:r>
      <w:r w:rsidR="00F269E1">
        <w:rPr>
          <w:rFonts w:ascii="Times New Roman" w:hAnsi="Times New Roman"/>
          <w:sz w:val="24"/>
          <w:szCs w:val="24"/>
        </w:rPr>
        <w:t>stimates of casual smuggling, over-the-road commercial smuggling</w:t>
      </w:r>
      <w:r>
        <w:rPr>
          <w:rFonts w:ascii="Times New Roman" w:hAnsi="Times New Roman"/>
          <w:sz w:val="24"/>
          <w:szCs w:val="24"/>
        </w:rPr>
        <w:t xml:space="preserve">, and international smuggling.  </w:t>
      </w:r>
      <w:r w:rsidR="001763CC">
        <w:rPr>
          <w:rFonts w:ascii="Times New Roman" w:hAnsi="Times New Roman"/>
          <w:sz w:val="24"/>
          <w:szCs w:val="24"/>
        </w:rPr>
        <w:t xml:space="preserve">The authors use a two-step estimation process in which they </w:t>
      </w:r>
      <w:r w:rsidR="0054184D">
        <w:rPr>
          <w:rFonts w:ascii="Times New Roman" w:hAnsi="Times New Roman"/>
          <w:sz w:val="24"/>
          <w:szCs w:val="24"/>
        </w:rPr>
        <w:t xml:space="preserve">estimate per capita </w:t>
      </w:r>
      <w:r w:rsidR="00F35207">
        <w:rPr>
          <w:rFonts w:ascii="Times New Roman" w:hAnsi="Times New Roman"/>
          <w:sz w:val="24"/>
          <w:szCs w:val="24"/>
        </w:rPr>
        <w:t>legal sales as</w:t>
      </w:r>
      <w:r w:rsidR="001763CC">
        <w:rPr>
          <w:rFonts w:ascii="Times New Roman" w:hAnsi="Times New Roman"/>
          <w:sz w:val="24"/>
          <w:szCs w:val="24"/>
        </w:rPr>
        <w:t xml:space="preserve"> a function of variables describing in-</w:t>
      </w:r>
      <w:r w:rsidR="009B0067">
        <w:rPr>
          <w:rFonts w:ascii="Times New Roman" w:hAnsi="Times New Roman"/>
          <w:sz w:val="24"/>
          <w:szCs w:val="24"/>
        </w:rPr>
        <w:t>state consumption</w:t>
      </w:r>
      <w:r w:rsidR="001763CC">
        <w:rPr>
          <w:rFonts w:ascii="Times New Roman" w:hAnsi="Times New Roman"/>
          <w:sz w:val="24"/>
          <w:szCs w:val="24"/>
        </w:rPr>
        <w:t xml:space="preserve">.  They </w:t>
      </w:r>
      <w:r w:rsidR="001763CC">
        <w:rPr>
          <w:rFonts w:ascii="Times New Roman" w:hAnsi="Times New Roman"/>
          <w:sz w:val="24"/>
          <w:szCs w:val="24"/>
        </w:rPr>
        <w:lastRenderedPageBreak/>
        <w:t>then use the residual from the fir</w:t>
      </w:r>
      <w:r w:rsidR="009B0067">
        <w:rPr>
          <w:rFonts w:ascii="Times New Roman" w:hAnsi="Times New Roman"/>
          <w:sz w:val="24"/>
          <w:szCs w:val="24"/>
        </w:rPr>
        <w:t>st step—the unexplained sales—as a measure of smuggling and use it as the dependent variable in the second step regress</w:t>
      </w:r>
      <w:r w:rsidR="00F35207">
        <w:rPr>
          <w:rFonts w:ascii="Times New Roman" w:hAnsi="Times New Roman"/>
          <w:sz w:val="24"/>
          <w:szCs w:val="24"/>
        </w:rPr>
        <w:t>ion against various determinants of smuggling</w:t>
      </w:r>
      <w:r w:rsidR="00711647">
        <w:rPr>
          <w:rFonts w:ascii="Times New Roman" w:hAnsi="Times New Roman"/>
          <w:sz w:val="24"/>
          <w:szCs w:val="24"/>
        </w:rPr>
        <w:t>, including the average border tax rate differential</w:t>
      </w:r>
      <w:r w:rsidR="008E426C">
        <w:rPr>
          <w:rFonts w:ascii="Times New Roman" w:hAnsi="Times New Roman"/>
          <w:sz w:val="24"/>
          <w:szCs w:val="24"/>
        </w:rPr>
        <w:t>, the tax rate differential with North Carolina, and controls for states bordering Canada or Mexico and those with Native American reservations</w:t>
      </w:r>
      <w:r w:rsidR="00F35207">
        <w:rPr>
          <w:rFonts w:ascii="Times New Roman" w:hAnsi="Times New Roman"/>
          <w:sz w:val="24"/>
          <w:szCs w:val="24"/>
        </w:rPr>
        <w:t>.  If smuggling occurred only over-the-road and between states in a closed system in which average net smuggling were zero, the authors’ approach would be more ideal.  However, since smuggling does occur across international borders and often involves counterfeit cigarettes, the approach will lead to biased estimates.</w:t>
      </w:r>
    </w:p>
    <w:p w:rsidR="00F35207" w:rsidRDefault="00F35207" w:rsidP="00431A3F">
      <w:pPr>
        <w:spacing w:after="0" w:line="480" w:lineRule="auto"/>
        <w:rPr>
          <w:rFonts w:ascii="Times New Roman" w:hAnsi="Times New Roman"/>
          <w:sz w:val="24"/>
          <w:szCs w:val="24"/>
        </w:rPr>
      </w:pPr>
      <w:r>
        <w:rPr>
          <w:rFonts w:ascii="Times New Roman" w:hAnsi="Times New Roman"/>
          <w:sz w:val="24"/>
          <w:szCs w:val="24"/>
        </w:rPr>
        <w:tab/>
        <w:t>The more common approach in the literature is to estimate cigarette demand and include one or more measures of tax or price differentials as independent variables</w:t>
      </w:r>
      <w:r w:rsidR="00292BFD">
        <w:rPr>
          <w:rFonts w:ascii="Times New Roman" w:hAnsi="Times New Roman"/>
          <w:sz w:val="24"/>
          <w:szCs w:val="24"/>
        </w:rPr>
        <w:t xml:space="preserve"> to capture the smuggling effect on legal sales within a state</w:t>
      </w:r>
      <w:r>
        <w:rPr>
          <w:rFonts w:ascii="Times New Roman" w:hAnsi="Times New Roman"/>
          <w:sz w:val="24"/>
          <w:szCs w:val="24"/>
        </w:rPr>
        <w:t xml:space="preserve">.  </w:t>
      </w:r>
      <w:r w:rsidR="00545E1D">
        <w:rPr>
          <w:rFonts w:ascii="Times New Roman" w:hAnsi="Times New Roman"/>
          <w:sz w:val="24"/>
          <w:szCs w:val="24"/>
        </w:rPr>
        <w:t xml:space="preserve">For instance, </w:t>
      </w:r>
      <w:proofErr w:type="spellStart"/>
      <w:r>
        <w:rPr>
          <w:rFonts w:ascii="Times New Roman" w:hAnsi="Times New Roman"/>
          <w:sz w:val="24"/>
          <w:szCs w:val="24"/>
        </w:rPr>
        <w:t>Goel</w:t>
      </w:r>
      <w:proofErr w:type="spellEnd"/>
      <w:r>
        <w:rPr>
          <w:rFonts w:ascii="Times New Roman" w:hAnsi="Times New Roman"/>
          <w:sz w:val="24"/>
          <w:szCs w:val="24"/>
        </w:rPr>
        <w:t xml:space="preserve"> and Nelson (2011) </w:t>
      </w:r>
      <w:r w:rsidR="00292BFD">
        <w:rPr>
          <w:rFonts w:ascii="Times New Roman" w:hAnsi="Times New Roman"/>
          <w:sz w:val="24"/>
          <w:szCs w:val="24"/>
        </w:rPr>
        <w:t xml:space="preserve">include both the state after-tax retail price and the minimum after-tax retail price of all contiguous </w:t>
      </w:r>
      <w:proofErr w:type="gramStart"/>
      <w:r w:rsidR="00292BFD">
        <w:rPr>
          <w:rFonts w:ascii="Times New Roman" w:hAnsi="Times New Roman"/>
          <w:sz w:val="24"/>
          <w:szCs w:val="24"/>
        </w:rPr>
        <w:t>border states</w:t>
      </w:r>
      <w:proofErr w:type="gramEnd"/>
      <w:r w:rsidR="00292BFD">
        <w:rPr>
          <w:rFonts w:ascii="Times New Roman" w:hAnsi="Times New Roman"/>
          <w:sz w:val="24"/>
          <w:szCs w:val="24"/>
        </w:rPr>
        <w:t>.  The authors’ results indicate that a ten percent increase in the minimum border state tax roughly leads to a three percent increase in legal sales in the state, a result that indicates a siza</w:t>
      </w:r>
      <w:r w:rsidR="008E426C">
        <w:rPr>
          <w:rFonts w:ascii="Times New Roman" w:hAnsi="Times New Roman"/>
          <w:sz w:val="24"/>
          <w:szCs w:val="24"/>
        </w:rPr>
        <w:t xml:space="preserve">ble level of casual smuggling.  </w:t>
      </w:r>
      <w:proofErr w:type="spellStart"/>
      <w:r w:rsidR="008E426C">
        <w:rPr>
          <w:rFonts w:ascii="Times New Roman" w:hAnsi="Times New Roman"/>
          <w:sz w:val="24"/>
          <w:szCs w:val="24"/>
        </w:rPr>
        <w:t>Lovenheim</w:t>
      </w:r>
      <w:proofErr w:type="spellEnd"/>
      <w:r w:rsidR="008E426C">
        <w:rPr>
          <w:rFonts w:ascii="Times New Roman" w:hAnsi="Times New Roman"/>
          <w:sz w:val="24"/>
          <w:szCs w:val="24"/>
        </w:rPr>
        <w:t xml:space="preserve"> (2008), using survey data, matches each respondent to the closest lower-taxing state and ultimately finds that between 13 and 25 percent of all U.S. consumers engage in casual cigarette smuggling.  </w:t>
      </w:r>
      <w:proofErr w:type="spellStart"/>
      <w:r w:rsidR="008E426C">
        <w:rPr>
          <w:rFonts w:ascii="Times New Roman" w:hAnsi="Times New Roman"/>
          <w:sz w:val="24"/>
          <w:szCs w:val="24"/>
        </w:rPr>
        <w:t>Thursby</w:t>
      </w:r>
      <w:proofErr w:type="spellEnd"/>
      <w:r w:rsidR="008E426C">
        <w:rPr>
          <w:rFonts w:ascii="Times New Roman" w:hAnsi="Times New Roman"/>
          <w:sz w:val="24"/>
          <w:szCs w:val="24"/>
        </w:rPr>
        <w:t xml:space="preserve"> an</w:t>
      </w:r>
      <w:r w:rsidR="00545E1D">
        <w:rPr>
          <w:rFonts w:ascii="Times New Roman" w:hAnsi="Times New Roman"/>
          <w:sz w:val="24"/>
          <w:szCs w:val="24"/>
        </w:rPr>
        <w:t xml:space="preserve">d </w:t>
      </w:r>
      <w:proofErr w:type="spellStart"/>
      <w:r w:rsidR="00545E1D">
        <w:rPr>
          <w:rFonts w:ascii="Times New Roman" w:hAnsi="Times New Roman"/>
          <w:sz w:val="24"/>
          <w:szCs w:val="24"/>
        </w:rPr>
        <w:t>Thursby</w:t>
      </w:r>
      <w:proofErr w:type="spellEnd"/>
      <w:r w:rsidR="00545E1D">
        <w:rPr>
          <w:rFonts w:ascii="Times New Roman" w:hAnsi="Times New Roman"/>
          <w:sz w:val="24"/>
          <w:szCs w:val="24"/>
        </w:rPr>
        <w:t xml:space="preserve"> (2000) include the average retail price in contiguous </w:t>
      </w:r>
      <w:proofErr w:type="gramStart"/>
      <w:r w:rsidR="00545E1D">
        <w:rPr>
          <w:rFonts w:ascii="Times New Roman" w:hAnsi="Times New Roman"/>
          <w:sz w:val="24"/>
          <w:szCs w:val="24"/>
        </w:rPr>
        <w:t>border states</w:t>
      </w:r>
      <w:proofErr w:type="gramEnd"/>
      <w:r w:rsidR="00545E1D">
        <w:rPr>
          <w:rFonts w:ascii="Times New Roman" w:hAnsi="Times New Roman"/>
          <w:sz w:val="24"/>
          <w:szCs w:val="24"/>
        </w:rPr>
        <w:t xml:space="preserve"> and the tax differential with North Carolina; they find that commercial smuggling account for roughly 7.3 percent of total sales in the U.S. in 1990.</w:t>
      </w:r>
    </w:p>
    <w:p w:rsidR="009535E7" w:rsidRDefault="00545E1D">
      <w:pPr>
        <w:spacing w:after="0" w:line="480" w:lineRule="auto"/>
        <w:rPr>
          <w:rFonts w:ascii="Times New Roman" w:hAnsi="Times New Roman"/>
          <w:sz w:val="24"/>
          <w:szCs w:val="24"/>
        </w:rPr>
      </w:pPr>
      <w:r>
        <w:rPr>
          <w:rFonts w:ascii="Times New Roman" w:hAnsi="Times New Roman"/>
          <w:sz w:val="24"/>
          <w:szCs w:val="24"/>
        </w:rPr>
        <w:tab/>
        <w:t>We construct a model of s</w:t>
      </w:r>
      <w:r w:rsidR="009C118C">
        <w:rPr>
          <w:rFonts w:ascii="Times New Roman" w:hAnsi="Times New Roman"/>
          <w:sz w:val="24"/>
          <w:szCs w:val="24"/>
        </w:rPr>
        <w:t>tate-level per capita retail sales of cigarettes</w:t>
      </w:r>
      <w:bookmarkEnd w:id="0"/>
      <w:bookmarkEnd w:id="1"/>
      <w:r>
        <w:rPr>
          <w:rFonts w:ascii="Times New Roman" w:hAnsi="Times New Roman"/>
          <w:sz w:val="24"/>
          <w:szCs w:val="24"/>
        </w:rPr>
        <w:t xml:space="preserve"> similar to those of the existing literature where per capita sales</w:t>
      </w:r>
      <w:r w:rsidR="009C118C">
        <w:rPr>
          <w:rFonts w:ascii="Times New Roman" w:hAnsi="Times New Roman"/>
          <w:sz w:val="24"/>
          <w:szCs w:val="24"/>
        </w:rPr>
        <w:t xml:space="preserve"> is modeled to be a function of smoking prevalence, median state income, a set of binary variables indicating whether the state borders Canada, borders Mexico, or has Indian Reservations within the state’s borders, </w:t>
      </w:r>
      <w:r w:rsidR="00FB38B7">
        <w:rPr>
          <w:rFonts w:ascii="Times New Roman" w:hAnsi="Times New Roman"/>
          <w:sz w:val="24"/>
          <w:szCs w:val="24"/>
        </w:rPr>
        <w:t xml:space="preserve">pre-tax retail price </w:t>
      </w:r>
      <w:r w:rsidR="00FB38B7">
        <w:rPr>
          <w:rFonts w:ascii="Times New Roman" w:hAnsi="Times New Roman"/>
          <w:sz w:val="24"/>
          <w:szCs w:val="24"/>
        </w:rPr>
        <w:lastRenderedPageBreak/>
        <w:t xml:space="preserve">(exclusive of federal, state, and local taxes), </w:t>
      </w:r>
      <w:r w:rsidR="009C118C">
        <w:rPr>
          <w:rFonts w:ascii="Times New Roman" w:hAnsi="Times New Roman"/>
          <w:sz w:val="24"/>
          <w:szCs w:val="24"/>
        </w:rPr>
        <w:t xml:space="preserve">and a scaled tax differential variable (to be described below).  </w:t>
      </w:r>
      <w:r w:rsidR="00795157">
        <w:rPr>
          <w:rFonts w:ascii="Times New Roman" w:hAnsi="Times New Roman"/>
          <w:sz w:val="24"/>
          <w:szCs w:val="24"/>
        </w:rPr>
        <w:t xml:space="preserve">Descriptive statistics of all variables used in this analysis can be found in Table 1.  </w:t>
      </w:r>
      <w:proofErr w:type="gramStart"/>
      <w:r w:rsidR="00795157">
        <w:rPr>
          <w:rFonts w:ascii="Times New Roman" w:hAnsi="Times New Roman"/>
          <w:sz w:val="24"/>
          <w:szCs w:val="24"/>
        </w:rPr>
        <w:t>Cigarette sales is</w:t>
      </w:r>
      <w:proofErr w:type="gramEnd"/>
      <w:r w:rsidR="00795157">
        <w:rPr>
          <w:rFonts w:ascii="Times New Roman" w:hAnsi="Times New Roman"/>
          <w:sz w:val="24"/>
          <w:szCs w:val="24"/>
        </w:rPr>
        <w:t xml:space="preserve"> measured as the annual per capita tax-paid, legal sales in the state.  </w:t>
      </w:r>
      <w:r w:rsidR="00F07D1D">
        <w:rPr>
          <w:rFonts w:ascii="Times New Roman" w:hAnsi="Times New Roman"/>
          <w:sz w:val="24"/>
          <w:szCs w:val="24"/>
        </w:rPr>
        <w:t xml:space="preserve">Smoking prevalence was collected from the Center for Disease Control and Prevention’s Behavioral Risk Factor Surveillance System (BRFSS), is defined as the percent of the adult population who are self-identified smokers, and should be positively related to sales.  Price should obviously be negatively related to sales; however, there is less agreement in the literature as to the </w:t>
      </w:r>
      <w:r w:rsidR="00795157">
        <w:rPr>
          <w:rFonts w:ascii="Times New Roman" w:hAnsi="Times New Roman"/>
          <w:sz w:val="24"/>
          <w:szCs w:val="24"/>
        </w:rPr>
        <w:t>qualitative relationship between income and cigarette sales.  Given that cigarette taxes (and therefore after-tax prices) in Canada are higher than those in the U.S., states bordering Canada should experience greater sales.</w:t>
      </w:r>
      <w:r w:rsidR="00795157">
        <w:rPr>
          <w:rStyle w:val="EndnoteReference"/>
          <w:rFonts w:ascii="Times New Roman" w:hAnsi="Times New Roman"/>
          <w:sz w:val="24"/>
          <w:szCs w:val="24"/>
        </w:rPr>
        <w:endnoteReference w:id="1"/>
      </w:r>
      <w:r w:rsidR="00795157">
        <w:rPr>
          <w:rFonts w:ascii="Times New Roman" w:hAnsi="Times New Roman"/>
          <w:sz w:val="24"/>
          <w:szCs w:val="24"/>
        </w:rPr>
        <w:t xml:space="preserve">  Those states bordering Mexico and those having Native American reservations should experience lower sales due to the greater access to cheaper or tax-free cigarettes.  </w:t>
      </w:r>
    </w:p>
    <w:p w:rsidR="009535E7" w:rsidRDefault="009535E7">
      <w:pPr>
        <w:spacing w:after="0" w:line="480" w:lineRule="auto"/>
        <w:rPr>
          <w:rFonts w:ascii="Times New Roman" w:hAnsi="Times New Roman"/>
          <w:sz w:val="24"/>
          <w:szCs w:val="24"/>
        </w:rPr>
      </w:pPr>
    </w:p>
    <w:p w:rsidR="009535E7" w:rsidRDefault="009535E7">
      <w:pPr>
        <w:spacing w:after="0" w:line="480" w:lineRule="auto"/>
        <w:jc w:val="center"/>
        <w:rPr>
          <w:rFonts w:ascii="Times New Roman" w:hAnsi="Times New Roman"/>
          <w:sz w:val="24"/>
          <w:szCs w:val="24"/>
        </w:rPr>
      </w:pPr>
      <w:r>
        <w:rPr>
          <w:rFonts w:ascii="Times New Roman" w:hAnsi="Times New Roman"/>
          <w:sz w:val="24"/>
          <w:szCs w:val="24"/>
        </w:rPr>
        <w:t>[Table 1 about here]</w:t>
      </w:r>
    </w:p>
    <w:p w:rsidR="009535E7" w:rsidRDefault="009535E7">
      <w:pPr>
        <w:spacing w:after="0" w:line="480" w:lineRule="auto"/>
        <w:rPr>
          <w:rFonts w:ascii="Times New Roman" w:hAnsi="Times New Roman"/>
          <w:sz w:val="24"/>
          <w:szCs w:val="24"/>
        </w:rPr>
      </w:pPr>
    </w:p>
    <w:p w:rsidR="003C543E" w:rsidRDefault="00795157">
      <w:pPr>
        <w:spacing w:after="0" w:line="480" w:lineRule="auto"/>
        <w:rPr>
          <w:rFonts w:ascii="Times New Roman" w:hAnsi="Times New Roman"/>
          <w:sz w:val="24"/>
          <w:szCs w:val="24"/>
        </w:rPr>
      </w:pPr>
      <w:r>
        <w:rPr>
          <w:rFonts w:ascii="Times New Roman" w:hAnsi="Times New Roman"/>
          <w:sz w:val="24"/>
          <w:szCs w:val="24"/>
        </w:rPr>
        <w:tab/>
        <w:t xml:space="preserve">Our variable of interest is </w:t>
      </w:r>
      <w:r w:rsidR="007F3A1C">
        <w:rPr>
          <w:rFonts w:ascii="Times New Roman" w:hAnsi="Times New Roman"/>
          <w:sz w:val="24"/>
          <w:szCs w:val="24"/>
        </w:rPr>
        <w:t xml:space="preserve">the </w:t>
      </w:r>
      <w:r>
        <w:rPr>
          <w:rFonts w:ascii="Times New Roman" w:hAnsi="Times New Roman"/>
          <w:sz w:val="24"/>
          <w:szCs w:val="24"/>
        </w:rPr>
        <w:t xml:space="preserve">scaled tax rate differential variable.  </w:t>
      </w:r>
      <w:r w:rsidR="007F3A1C">
        <w:rPr>
          <w:rFonts w:ascii="Times New Roman" w:hAnsi="Times New Roman"/>
          <w:sz w:val="24"/>
          <w:szCs w:val="24"/>
        </w:rPr>
        <w:t xml:space="preserve">This variable is a gravity-model type variable, incorporating both distance and tax differentials in its calculation.  Hall, Lawson, and </w:t>
      </w:r>
      <w:proofErr w:type="spellStart"/>
      <w:r w:rsidR="007F3A1C">
        <w:rPr>
          <w:rFonts w:ascii="Times New Roman" w:hAnsi="Times New Roman"/>
          <w:sz w:val="24"/>
          <w:szCs w:val="24"/>
        </w:rPr>
        <w:t>Skipton</w:t>
      </w:r>
      <w:proofErr w:type="spellEnd"/>
      <w:r w:rsidR="007F3A1C">
        <w:rPr>
          <w:rFonts w:ascii="Times New Roman" w:hAnsi="Times New Roman"/>
          <w:sz w:val="24"/>
          <w:szCs w:val="24"/>
        </w:rPr>
        <w:t xml:space="preserve"> (2011) use a similarly constructed variable </w:t>
      </w:r>
      <w:r w:rsidR="00715D56">
        <w:rPr>
          <w:rFonts w:ascii="Times New Roman" w:hAnsi="Times New Roman"/>
          <w:sz w:val="24"/>
          <w:szCs w:val="24"/>
        </w:rPr>
        <w:t xml:space="preserve">(Distance Adjusted Demand Scalar) to measure “a country’s relative proximity to world concentrations of demand” </w:t>
      </w:r>
      <w:r w:rsidR="007F3A1C">
        <w:rPr>
          <w:rFonts w:ascii="Times New Roman" w:hAnsi="Times New Roman"/>
          <w:sz w:val="24"/>
          <w:szCs w:val="24"/>
        </w:rPr>
        <w:t>i</w:t>
      </w:r>
      <w:r w:rsidR="00715D56">
        <w:rPr>
          <w:rFonts w:ascii="Times New Roman" w:hAnsi="Times New Roman"/>
          <w:sz w:val="24"/>
          <w:szCs w:val="24"/>
        </w:rPr>
        <w:t>n their model</w:t>
      </w:r>
      <w:r w:rsidR="007F3A1C">
        <w:rPr>
          <w:rFonts w:ascii="Times New Roman" w:hAnsi="Times New Roman"/>
          <w:sz w:val="24"/>
          <w:szCs w:val="24"/>
        </w:rPr>
        <w:t xml:space="preserve"> of international trade.  In our case, for each state we compute the paired tax differentials between the home state and all other states, scale them individually </w:t>
      </w:r>
      <w:proofErr w:type="gramStart"/>
      <w:r w:rsidR="007F3A1C">
        <w:rPr>
          <w:rFonts w:ascii="Times New Roman" w:hAnsi="Times New Roman"/>
          <w:sz w:val="24"/>
          <w:szCs w:val="24"/>
        </w:rPr>
        <w:t xml:space="preserve">by </w:t>
      </w:r>
      <w:proofErr w:type="gramEnd"/>
      <m:oMath>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distance</m:t>
                    </m:r>
                  </m:e>
                  <m:sub>
                    <m:r>
                      <w:rPr>
                        <w:rFonts w:ascii="Cambria Math" w:hAnsi="Cambria Math"/>
                        <w:sz w:val="24"/>
                        <w:szCs w:val="24"/>
                      </w:rPr>
                      <m:t>i,j</m:t>
                    </m:r>
                  </m:sub>
                </m:sSub>
              </m:e>
              <m:sup>
                <m:r>
                  <w:rPr>
                    <w:rFonts w:ascii="Cambria Math" w:hAnsi="Cambria Math"/>
                    <w:sz w:val="24"/>
                    <w:szCs w:val="24"/>
                  </w:rPr>
                  <m:t>2</m:t>
                </m:r>
              </m:sup>
            </m:sSup>
          </m:den>
        </m:f>
      </m:oMath>
      <w:r w:rsidR="007F3A1C">
        <w:rPr>
          <w:rFonts w:ascii="Times New Roman" w:hAnsi="Times New Roman"/>
          <w:sz w:val="24"/>
          <w:szCs w:val="24"/>
        </w:rPr>
        <w:t>, and then sum the scaled tax differentials</w:t>
      </w:r>
      <w:r w:rsidR="003C543E">
        <w:rPr>
          <w:rFonts w:ascii="Times New Roman" w:hAnsi="Times New Roman"/>
          <w:sz w:val="24"/>
          <w:szCs w:val="24"/>
        </w:rPr>
        <w:t>:</w:t>
      </w:r>
    </w:p>
    <w:p w:rsidR="003C543E" w:rsidRDefault="003C543E" w:rsidP="003C543E">
      <w:pPr>
        <w:tabs>
          <w:tab w:val="left" w:pos="3600"/>
          <w:tab w:val="left" w:pos="8640"/>
        </w:tabs>
        <w:spacing w:after="0" w:line="480" w:lineRule="auto"/>
        <w:jc w:val="right"/>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d>
              </m:num>
              <m:den>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distance</m:t>
                        </m:r>
                      </m:e>
                      <m:sub>
                        <m:r>
                          <w:rPr>
                            <w:rFonts w:ascii="Cambria Math" w:hAnsi="Cambria Math"/>
                            <w:sz w:val="24"/>
                            <w:szCs w:val="24"/>
                          </w:rPr>
                          <m:t>i,j</m:t>
                        </m:r>
                      </m:sub>
                    </m:sSub>
                  </m:e>
                  <m:sup>
                    <m:r>
                      <w:rPr>
                        <w:rFonts w:ascii="Cambria Math" w:hAnsi="Cambria Math"/>
                        <w:sz w:val="24"/>
                        <w:szCs w:val="24"/>
                      </w:rPr>
                      <m:t>2</m:t>
                    </m:r>
                  </m:sup>
                </m:sSup>
              </m:den>
            </m:f>
          </m:e>
        </m:nary>
      </m:oMath>
      <w:r w:rsidR="00163322">
        <w:rPr>
          <w:rFonts w:ascii="Times New Roman" w:hAnsi="Times New Roman"/>
          <w:sz w:val="24"/>
          <w:szCs w:val="24"/>
        </w:rPr>
        <w:t xml:space="preserve"> </w:t>
      </w:r>
      <w:proofErr w:type="gramStart"/>
      <w:r w:rsidR="00163322">
        <w:rPr>
          <w:rFonts w:ascii="Times New Roman" w:hAnsi="Times New Roman"/>
          <w:sz w:val="24"/>
          <w:szCs w:val="24"/>
        </w:rPr>
        <w:t>for</w:t>
      </w:r>
      <w:proofErr w:type="gramEnd"/>
      <w:r w:rsidR="00163322">
        <w:rPr>
          <w:rFonts w:ascii="Times New Roman" w:hAnsi="Times New Roman"/>
          <w:sz w:val="24"/>
          <w:szCs w:val="24"/>
        </w:rPr>
        <w:t xml:space="preserve"> all </w:t>
      </w:r>
      <w:r w:rsidR="00163322" w:rsidRPr="00163322">
        <w:rPr>
          <w:rFonts w:ascii="Times New Roman" w:hAnsi="Times New Roman"/>
          <w:i/>
          <w:sz w:val="24"/>
          <w:szCs w:val="24"/>
        </w:rPr>
        <w:t>i</w:t>
      </w:r>
      <w:r w:rsidR="00163322">
        <w:rPr>
          <w:rFonts w:ascii="Times New Roman" w:hAnsi="Times New Roman"/>
          <w:sz w:val="24"/>
          <w:szCs w:val="24"/>
        </w:rPr>
        <w:t xml:space="preserve"> = 1…</w:t>
      </w:r>
      <w:r w:rsidR="00163322" w:rsidRPr="00715D56">
        <w:rPr>
          <w:rFonts w:ascii="Times New Roman" w:hAnsi="Times New Roman"/>
          <w:i/>
          <w:sz w:val="24"/>
          <w:szCs w:val="24"/>
        </w:rPr>
        <w:t>m</w:t>
      </w:r>
      <w:r>
        <w:rPr>
          <w:rFonts w:ascii="Times New Roman" w:hAnsi="Times New Roman"/>
          <w:sz w:val="24"/>
          <w:szCs w:val="24"/>
        </w:rPr>
        <w:tab/>
        <w:t xml:space="preserve">    (1)</w:t>
      </w:r>
    </w:p>
    <w:p w:rsidR="00715D56" w:rsidRDefault="003C543E">
      <w:pPr>
        <w:spacing w:after="0" w:line="480" w:lineRule="auto"/>
        <w:rPr>
          <w:rFonts w:ascii="Times New Roman" w:hAnsi="Times New Roman"/>
          <w:sz w:val="24"/>
          <w:szCs w:val="24"/>
        </w:rPr>
      </w:pPr>
      <w:proofErr w:type="gramStart"/>
      <w:r>
        <w:rPr>
          <w:rFonts w:ascii="Times New Roman" w:hAnsi="Times New Roman"/>
          <w:sz w:val="24"/>
          <w:szCs w:val="24"/>
        </w:rPr>
        <w:lastRenderedPageBreak/>
        <w:t>where</w:t>
      </w:r>
      <w:proofErr w:type="gramEnd"/>
      <w:r>
        <w:rPr>
          <w:rFonts w:ascii="Times New Roman" w:hAnsi="Times New Roman"/>
          <w:sz w:val="24"/>
          <w:szCs w:val="24"/>
        </w:rPr>
        <w:t xml:space="preserve"> </w:t>
      </w:r>
      <w:r w:rsidR="00163322" w:rsidRPr="00163322">
        <w:rPr>
          <w:rFonts w:ascii="Times New Roman" w:hAnsi="Times New Roman"/>
          <w:i/>
          <w:sz w:val="24"/>
          <w:szCs w:val="24"/>
        </w:rPr>
        <w:t>T</w:t>
      </w:r>
      <w:r w:rsidR="00163322">
        <w:rPr>
          <w:rFonts w:ascii="Times New Roman" w:hAnsi="Times New Roman"/>
          <w:sz w:val="24"/>
          <w:szCs w:val="24"/>
        </w:rPr>
        <w:t xml:space="preserve"> represents the state cigarette tax.</w:t>
      </w:r>
      <w:r w:rsidR="00163322">
        <w:rPr>
          <w:rStyle w:val="EndnoteReference"/>
          <w:rFonts w:ascii="Times New Roman" w:hAnsi="Times New Roman"/>
          <w:sz w:val="24"/>
          <w:szCs w:val="24"/>
        </w:rPr>
        <w:endnoteReference w:id="2"/>
      </w:r>
      <w:r w:rsidR="00163322">
        <w:rPr>
          <w:rFonts w:ascii="Times New Roman" w:hAnsi="Times New Roman"/>
          <w:sz w:val="24"/>
          <w:szCs w:val="24"/>
        </w:rPr>
        <w:t xml:space="preserve">  </w:t>
      </w:r>
      <w:r w:rsidR="00F251F7">
        <w:rPr>
          <w:rFonts w:ascii="Times New Roman" w:hAnsi="Times New Roman"/>
          <w:sz w:val="24"/>
          <w:szCs w:val="24"/>
        </w:rPr>
        <w:t xml:space="preserve">Distance is measured as the “as the crow flies” distance between population-weighted state centroids.  </w:t>
      </w:r>
      <w:r w:rsidR="00163322">
        <w:rPr>
          <w:rFonts w:ascii="Times New Roman" w:hAnsi="Times New Roman"/>
          <w:sz w:val="24"/>
          <w:szCs w:val="24"/>
        </w:rPr>
        <w:t xml:space="preserve">All else constant, an increase in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r w:rsidR="00163322">
        <w:rPr>
          <w:rFonts w:ascii="Times New Roman" w:hAnsi="Times New Roman"/>
          <w:sz w:val="24"/>
          <w:szCs w:val="24"/>
        </w:rPr>
        <w:t xml:space="preserve"> should lead to an increase in legal sales in the state.  For instance, a reduction in the home-state tax rate, which will increase the value of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r w:rsidR="00163322">
        <w:rPr>
          <w:rFonts w:ascii="Times New Roman" w:hAnsi="Times New Roman"/>
          <w:sz w:val="24"/>
          <w:szCs w:val="24"/>
        </w:rPr>
        <w:t xml:space="preserve">, makes it </w:t>
      </w:r>
      <w:r w:rsidR="00040D3C">
        <w:rPr>
          <w:rFonts w:ascii="Times New Roman" w:hAnsi="Times New Roman"/>
          <w:sz w:val="24"/>
          <w:szCs w:val="24"/>
        </w:rPr>
        <w:t>mo</w:t>
      </w:r>
      <w:r w:rsidR="00F251F7">
        <w:rPr>
          <w:rFonts w:ascii="Times New Roman" w:hAnsi="Times New Roman"/>
          <w:sz w:val="24"/>
          <w:szCs w:val="24"/>
        </w:rPr>
        <w:t xml:space="preserve">re attractive (less unattractive) for state residents, residents of bordering states, and organized crime syndicates to purchase cigarettes in that state.  The same would be true if at least one other state increased their tax on cigarettes.  The distance between states does not change over time; however, two states with identical home tax rates can have vastly different values of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r w:rsidR="00F251F7">
        <w:rPr>
          <w:rFonts w:ascii="Times New Roman" w:hAnsi="Times New Roman"/>
          <w:sz w:val="24"/>
          <w:szCs w:val="24"/>
        </w:rPr>
        <w:t xml:space="preserve"> if one is more remote than the other or if one is closer to high tax states than is the other.  </w:t>
      </w:r>
    </w:p>
    <w:p w:rsidR="00F251F7" w:rsidRDefault="00F251F7">
      <w:pPr>
        <w:spacing w:after="0" w:line="480" w:lineRule="auto"/>
        <w:rPr>
          <w:rFonts w:ascii="Times New Roman" w:hAnsi="Times New Roman"/>
          <w:sz w:val="24"/>
          <w:szCs w:val="24"/>
        </w:rPr>
      </w:pPr>
    </w:p>
    <w:p w:rsidR="00291080" w:rsidRDefault="00924930" w:rsidP="00291080">
      <w:pPr>
        <w:spacing w:after="0" w:line="480" w:lineRule="auto"/>
        <w:rPr>
          <w:rFonts w:ascii="Times New Roman" w:hAnsi="Times New Roman"/>
          <w:bCs/>
          <w:sz w:val="32"/>
          <w:szCs w:val="32"/>
        </w:rPr>
      </w:pPr>
      <w:r>
        <w:rPr>
          <w:rFonts w:ascii="Times New Roman" w:hAnsi="Times New Roman"/>
          <w:bCs/>
          <w:sz w:val="32"/>
          <w:szCs w:val="32"/>
        </w:rPr>
        <w:t>3</w:t>
      </w:r>
      <w:r w:rsidR="00291080" w:rsidRPr="00291080">
        <w:rPr>
          <w:rFonts w:ascii="Times New Roman" w:hAnsi="Times New Roman"/>
          <w:bCs/>
          <w:sz w:val="32"/>
          <w:szCs w:val="32"/>
        </w:rPr>
        <w:t xml:space="preserve">. </w:t>
      </w:r>
      <w:r w:rsidR="00291080">
        <w:rPr>
          <w:rFonts w:ascii="Times New Roman" w:hAnsi="Times New Roman"/>
          <w:bCs/>
          <w:sz w:val="32"/>
          <w:szCs w:val="32"/>
        </w:rPr>
        <w:t xml:space="preserve">Estimation Approach and </w:t>
      </w:r>
      <w:r>
        <w:rPr>
          <w:rFonts w:ascii="Times New Roman" w:hAnsi="Times New Roman"/>
          <w:bCs/>
          <w:sz w:val="32"/>
          <w:szCs w:val="32"/>
        </w:rPr>
        <w:t>Results</w:t>
      </w:r>
    </w:p>
    <w:p w:rsidR="00924930" w:rsidRDefault="00924930" w:rsidP="00291080">
      <w:pPr>
        <w:spacing w:after="0" w:line="480" w:lineRule="auto"/>
        <w:rPr>
          <w:rFonts w:ascii="Times New Roman" w:hAnsi="Times New Roman"/>
          <w:sz w:val="24"/>
          <w:szCs w:val="24"/>
        </w:rPr>
      </w:pPr>
      <w:r>
        <w:rPr>
          <w:rFonts w:ascii="Times New Roman" w:hAnsi="Times New Roman"/>
          <w:bCs/>
          <w:sz w:val="32"/>
          <w:szCs w:val="32"/>
        </w:rPr>
        <w:tab/>
        <w:t>3.1 Base Model</w:t>
      </w:r>
    </w:p>
    <w:p w:rsidR="00291080" w:rsidRDefault="00B33135">
      <w:pPr>
        <w:spacing w:after="0" w:line="480" w:lineRule="auto"/>
        <w:rPr>
          <w:rFonts w:ascii="Times New Roman" w:hAnsi="Times New Roman"/>
          <w:sz w:val="24"/>
          <w:szCs w:val="24"/>
        </w:rPr>
      </w:pPr>
      <w:r>
        <w:rPr>
          <w:rFonts w:ascii="Times New Roman" w:hAnsi="Times New Roman"/>
          <w:sz w:val="24"/>
          <w:szCs w:val="24"/>
        </w:rPr>
        <w:t xml:space="preserve">Our </w:t>
      </w:r>
      <w:r w:rsidR="00375675">
        <w:rPr>
          <w:rFonts w:ascii="Times New Roman" w:hAnsi="Times New Roman"/>
          <w:sz w:val="24"/>
          <w:szCs w:val="24"/>
        </w:rPr>
        <w:t xml:space="preserve">(non-habit formation) </w:t>
      </w:r>
      <w:r>
        <w:rPr>
          <w:rFonts w:ascii="Times New Roman" w:hAnsi="Times New Roman"/>
          <w:sz w:val="24"/>
          <w:szCs w:val="24"/>
        </w:rPr>
        <w:t xml:space="preserve">base model can be summarized by Equation 2 in which i </w:t>
      </w:r>
      <w:proofErr w:type="gramStart"/>
      <w:r>
        <w:rPr>
          <w:rFonts w:ascii="Times New Roman" w:hAnsi="Times New Roman"/>
          <w:sz w:val="24"/>
          <w:szCs w:val="24"/>
        </w:rPr>
        <w:t>denotes</w:t>
      </w:r>
      <w:proofErr w:type="gramEnd"/>
      <w:r>
        <w:rPr>
          <w:rFonts w:ascii="Times New Roman" w:hAnsi="Times New Roman"/>
          <w:sz w:val="24"/>
          <w:szCs w:val="24"/>
        </w:rPr>
        <w:t xml:space="preserve"> state and t denotes the year:</w:t>
      </w:r>
    </w:p>
    <w:p w:rsidR="00375675" w:rsidRDefault="00375675">
      <w:pPr>
        <w:spacing w:after="0" w:line="480" w:lineRule="auto"/>
        <w:rPr>
          <w:rFonts w:ascii="Times New Roman" w:hAnsi="Times New Roman"/>
          <w:sz w:val="24"/>
          <w:szCs w:val="24"/>
        </w:rPr>
      </w:pPr>
    </w:p>
    <w:p w:rsidR="00375675" w:rsidRDefault="00375675" w:rsidP="00375675">
      <w:pPr>
        <w:tabs>
          <w:tab w:val="left" w:pos="3600"/>
          <w:tab w:val="left" w:pos="8640"/>
        </w:tabs>
        <w:spacing w:after="0" w:line="480" w:lineRule="auto"/>
        <w:jc w:val="right"/>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sSub>
          <m:sSubPr>
            <m:ctrlPr>
              <w:rPr>
                <w:rFonts w:ascii="Cambria Math" w:hAnsi="Cambria Math"/>
                <w:i/>
                <w:sz w:val="24"/>
                <w:szCs w:val="24"/>
              </w:rPr>
            </m:ctrlPr>
          </m:sSubPr>
          <m:e>
            <m:r>
              <w:rPr>
                <w:rFonts w:ascii="Cambria Math" w:hAnsi="Cambria Math"/>
                <w:sz w:val="24"/>
                <w:szCs w:val="24"/>
              </w:rPr>
              <m:t xml:space="preserve"> + 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it</m:t>
            </m:r>
          </m:sub>
        </m:sSub>
        <m:r>
          <w:rPr>
            <w:rFonts w:ascii="Cambria Math" w:hAnsi="Cambria Math"/>
            <w:sz w:val="24"/>
            <w:szCs w:val="24"/>
          </w:rPr>
          <m:t>+</m:t>
        </m:r>
        <m:r>
          <m:rPr>
            <m:sty m:val="p"/>
          </m:rPr>
          <w:rPr>
            <w:rFonts w:ascii="Cambria Math" w:hAnsi="Cambria Math"/>
            <w:position w:val="-28"/>
          </w:rPr>
          <w:object w:dxaOrig="9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3.75pt" o:ole="">
              <v:imagedata r:id="rId11" o:title=""/>
            </v:shape>
            <o:OLEObject Type="Embed" ProgID="Equation.3" ShapeID="_x0000_i1025" DrawAspect="Content" ObjectID="_1380547985" r:id="rId12"/>
          </w:objec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w:r>
        <w:rPr>
          <w:rFonts w:ascii="Times New Roman" w:hAnsi="Times New Roman"/>
          <w:sz w:val="24"/>
          <w:szCs w:val="24"/>
        </w:rPr>
        <w:tab/>
        <w:t xml:space="preserve">    (2)</w:t>
      </w:r>
    </w:p>
    <w:p w:rsidR="00375675" w:rsidRDefault="00375675" w:rsidP="00375675">
      <w:pPr>
        <w:tabs>
          <w:tab w:val="left" w:pos="3600"/>
          <w:tab w:val="left" w:pos="8640"/>
        </w:tabs>
        <w:spacing w:after="0" w:line="480" w:lineRule="auto"/>
        <w:rPr>
          <w:rFonts w:ascii="Times New Roman" w:hAnsi="Times New Roman"/>
          <w:sz w:val="24"/>
          <w:szCs w:val="24"/>
        </w:rPr>
      </w:pPr>
    </w:p>
    <w:p w:rsidR="000A1372" w:rsidRDefault="00375675" w:rsidP="004452B3">
      <w:pPr>
        <w:spacing w:after="0" w:line="480" w:lineRule="auto"/>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kit</m:t>
            </m:r>
          </m:sub>
        </m:sSub>
      </m:oMath>
      <w:r>
        <w:rPr>
          <w:rFonts w:ascii="Times New Roman" w:hAnsi="Times New Roman"/>
          <w:sz w:val="24"/>
          <w:szCs w:val="24"/>
        </w:rPr>
        <w:t xml:space="preserve"> includes all previously discussed independent variables other than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it</m:t>
            </m:r>
          </m:sub>
        </m:sSub>
      </m:oMath>
      <w:r>
        <w:rPr>
          <w:rFonts w:ascii="Times New Roman" w:hAnsi="Times New Roman"/>
          <w:sz w:val="24"/>
          <w:szCs w:val="24"/>
        </w:rPr>
        <w:t xml:space="preserve">.  </w:t>
      </w:r>
      <w:r w:rsidR="00FE3B35">
        <w:rPr>
          <w:rFonts w:ascii="Times New Roman" w:hAnsi="Times New Roman"/>
          <w:sz w:val="24"/>
          <w:szCs w:val="24"/>
        </w:rPr>
        <w:t xml:space="preserve">A growing body of literature suggests that OLS estimates in studies employing cross-sectional or panel data are biased and/or inconsistent due to spatial dependence in the dependent variable and/or the error term (see, for example, </w:t>
      </w:r>
      <w:proofErr w:type="spellStart"/>
      <w:r w:rsidR="00FE3B35">
        <w:rPr>
          <w:rFonts w:ascii="Times New Roman" w:hAnsi="Times New Roman"/>
          <w:sz w:val="24"/>
          <w:szCs w:val="24"/>
        </w:rPr>
        <w:t>LeSage</w:t>
      </w:r>
      <w:proofErr w:type="spellEnd"/>
      <w:r w:rsidR="00FE3B35">
        <w:rPr>
          <w:rFonts w:ascii="Times New Roman" w:hAnsi="Times New Roman"/>
          <w:sz w:val="24"/>
          <w:szCs w:val="24"/>
        </w:rPr>
        <w:t xml:space="preserve"> and Dominguez, 2010; Lacombe and Shaughnessy, 2007; and Hall and Ross, 2010).   Spatial dependence in the dependent variable </w:t>
      </w:r>
      <w:r w:rsidR="00FE3B35">
        <w:rPr>
          <w:rFonts w:ascii="Times New Roman" w:hAnsi="Times New Roman"/>
          <w:sz w:val="24"/>
          <w:szCs w:val="24"/>
        </w:rPr>
        <w:lastRenderedPageBreak/>
        <w:t>can be modeled via a spatial autoregressive model (</w:t>
      </w:r>
      <w:r w:rsidR="00FE3B35">
        <w:rPr>
          <w:rFonts w:ascii="Times New Roman" w:hAnsi="Times New Roman"/>
          <w:i/>
          <w:sz w:val="24"/>
          <w:szCs w:val="24"/>
        </w:rPr>
        <w:t>SAR</w:t>
      </w:r>
      <w:r w:rsidR="00FE3B35">
        <w:rPr>
          <w:rFonts w:ascii="Times New Roman" w:hAnsi="Times New Roman"/>
          <w:sz w:val="24"/>
          <w:szCs w:val="24"/>
        </w:rPr>
        <w:t>)</w:t>
      </w:r>
      <w:r w:rsidR="000A1372">
        <w:rPr>
          <w:rFonts w:ascii="Times New Roman" w:hAnsi="Times New Roman"/>
          <w:sz w:val="24"/>
          <w:szCs w:val="24"/>
        </w:rPr>
        <w:t xml:space="preserve"> in which a spatial lag (</w:t>
      </w:r>
      <m:oMath>
        <m:r>
          <w:rPr>
            <w:rFonts w:ascii="Cambria Math" w:hAnsi="Cambria Math"/>
            <w:sz w:val="24"/>
            <w:szCs w:val="24"/>
          </w:rPr>
          <m:t>Wy</m:t>
        </m:r>
      </m:oMath>
      <w:r w:rsidR="000A1372">
        <w:rPr>
          <w:rFonts w:ascii="Times New Roman" w:hAnsi="Times New Roman"/>
          <w:sz w:val="24"/>
          <w:szCs w:val="24"/>
        </w:rPr>
        <w:t xml:space="preserve">) is added to the list of explanatory variables, where </w:t>
      </w:r>
      <m:oMath>
        <m:r>
          <w:rPr>
            <w:rFonts w:ascii="Cambria Math" w:hAnsi="Cambria Math"/>
            <w:sz w:val="24"/>
            <w:szCs w:val="24"/>
          </w:rPr>
          <m:t>W</m:t>
        </m:r>
      </m:oMath>
      <w:r w:rsidR="00FE3B35">
        <w:rPr>
          <w:rFonts w:ascii="Times New Roman" w:hAnsi="Times New Roman"/>
          <w:sz w:val="24"/>
          <w:szCs w:val="24"/>
        </w:rPr>
        <w:t xml:space="preserve"> </w:t>
      </w:r>
      <w:r w:rsidR="000A1372">
        <w:rPr>
          <w:rFonts w:ascii="Times New Roman" w:hAnsi="Times New Roman"/>
          <w:sz w:val="24"/>
          <w:szCs w:val="24"/>
        </w:rPr>
        <w:t>is the row-standardized spatial weight matrix.</w:t>
      </w:r>
      <w:r w:rsidR="003436F7">
        <w:rPr>
          <w:rFonts w:ascii="Times New Roman" w:hAnsi="Times New Roman"/>
          <w:sz w:val="24"/>
          <w:szCs w:val="24"/>
        </w:rPr>
        <w:t xml:space="preserve">  We define neighbors as those states which are contiguous to each given state.</w:t>
      </w:r>
      <w:r w:rsidR="000A1372">
        <w:rPr>
          <w:rFonts w:ascii="Times New Roman" w:hAnsi="Times New Roman"/>
          <w:sz w:val="24"/>
          <w:szCs w:val="24"/>
        </w:rPr>
        <w:t xml:space="preserve">  </w:t>
      </w:r>
      <m:oMath>
        <m:r>
          <w:rPr>
            <w:rFonts w:ascii="Cambria Math" w:hAnsi="Cambria Math"/>
            <w:sz w:val="24"/>
            <w:szCs w:val="24"/>
          </w:rPr>
          <m:t>Wy</m:t>
        </m:r>
      </m:oMath>
      <w:r w:rsidR="000A1372">
        <w:rPr>
          <w:rFonts w:ascii="Times New Roman" w:hAnsi="Times New Roman"/>
          <w:sz w:val="24"/>
          <w:szCs w:val="24"/>
        </w:rPr>
        <w:t xml:space="preserve">, in our case, can be interpreted as the weighted average of neighboring state per capita cigarette sales.  </w:t>
      </w:r>
      <w:r w:rsidR="00FE3B35">
        <w:rPr>
          <w:rFonts w:ascii="Times New Roman" w:hAnsi="Times New Roman"/>
          <w:sz w:val="24"/>
          <w:szCs w:val="24"/>
        </w:rPr>
        <w:t xml:space="preserve"> </w:t>
      </w:r>
      <w:r w:rsidR="000A1372">
        <w:rPr>
          <w:rFonts w:ascii="Times New Roman" w:hAnsi="Times New Roman"/>
          <w:sz w:val="24"/>
          <w:szCs w:val="24"/>
        </w:rPr>
        <w:t>Spatial dependence in the error term, which can result from the omission of explanatory variables which happen to be both correlated across space and correlated with other included independent variables, can be modeled via a spatial error model (</w:t>
      </w:r>
      <w:r w:rsidR="000A1372" w:rsidRPr="000A1372">
        <w:rPr>
          <w:rFonts w:ascii="Times New Roman" w:hAnsi="Times New Roman"/>
          <w:i/>
          <w:sz w:val="24"/>
          <w:szCs w:val="24"/>
        </w:rPr>
        <w:t>SEM</w:t>
      </w:r>
      <w:r w:rsidR="000A1372">
        <w:rPr>
          <w:rFonts w:ascii="Times New Roman" w:hAnsi="Times New Roman"/>
          <w:sz w:val="24"/>
          <w:szCs w:val="24"/>
        </w:rPr>
        <w:t xml:space="preserve">).  Like standard cases of omitted variables, OLS estimates tend to be biased due to spatially correlated omitted variables; however, by accounting for the spatial dependence in the error term which results from the omitted variables this bias can be reduced.  </w:t>
      </w:r>
    </w:p>
    <w:p w:rsidR="00337CAB" w:rsidRDefault="000A1372" w:rsidP="000A1372">
      <w:pPr>
        <w:spacing w:after="0" w:line="480" w:lineRule="auto"/>
        <w:ind w:firstLine="720"/>
        <w:rPr>
          <w:rFonts w:ascii="Times New Roman" w:hAnsi="Times New Roman"/>
          <w:sz w:val="24"/>
          <w:szCs w:val="24"/>
        </w:rPr>
      </w:pPr>
      <w:proofErr w:type="spellStart"/>
      <w:r>
        <w:rPr>
          <w:rFonts w:ascii="Times New Roman" w:hAnsi="Times New Roman"/>
          <w:sz w:val="24"/>
          <w:szCs w:val="24"/>
        </w:rPr>
        <w:t>LeSage</w:t>
      </w:r>
      <w:proofErr w:type="spellEnd"/>
      <w:r>
        <w:rPr>
          <w:rFonts w:ascii="Times New Roman" w:hAnsi="Times New Roman"/>
          <w:sz w:val="24"/>
          <w:szCs w:val="24"/>
        </w:rPr>
        <w:t xml:space="preserve"> and Pace (2009) argue that the Spatial Durbin Model (</w:t>
      </w:r>
      <w:r>
        <w:rPr>
          <w:rFonts w:ascii="Times New Roman" w:hAnsi="Times New Roman"/>
          <w:i/>
          <w:sz w:val="24"/>
          <w:szCs w:val="24"/>
        </w:rPr>
        <w:t>SDM</w:t>
      </w:r>
      <w:r>
        <w:rPr>
          <w:rFonts w:ascii="Times New Roman" w:hAnsi="Times New Roman"/>
          <w:sz w:val="24"/>
          <w:szCs w:val="24"/>
        </w:rPr>
        <w:t xml:space="preserve">) </w:t>
      </w:r>
      <w:r w:rsidR="00337CAB">
        <w:rPr>
          <w:rFonts w:ascii="Times New Roman" w:hAnsi="Times New Roman"/>
          <w:sz w:val="24"/>
          <w:szCs w:val="24"/>
        </w:rPr>
        <w:t xml:space="preserve">is often superior to the </w:t>
      </w:r>
      <w:r w:rsidR="00337CAB">
        <w:rPr>
          <w:rFonts w:ascii="Times New Roman" w:hAnsi="Times New Roman"/>
          <w:i/>
          <w:sz w:val="24"/>
          <w:szCs w:val="24"/>
        </w:rPr>
        <w:t xml:space="preserve">SAR </w:t>
      </w:r>
      <w:r w:rsidR="008D39C9">
        <w:rPr>
          <w:rFonts w:ascii="Times New Roman" w:hAnsi="Times New Roman"/>
          <w:sz w:val="24"/>
          <w:szCs w:val="24"/>
        </w:rPr>
        <w:t xml:space="preserve">and </w:t>
      </w:r>
      <w:r w:rsidR="00337CAB">
        <w:rPr>
          <w:rFonts w:ascii="Times New Roman" w:hAnsi="Times New Roman"/>
          <w:i/>
          <w:sz w:val="24"/>
          <w:szCs w:val="24"/>
        </w:rPr>
        <w:t>SEM</w:t>
      </w:r>
      <w:r w:rsidR="00337CAB">
        <w:rPr>
          <w:rFonts w:ascii="Times New Roman" w:hAnsi="Times New Roman"/>
          <w:sz w:val="24"/>
          <w:szCs w:val="24"/>
        </w:rPr>
        <w:t xml:space="preserve"> for many if not most applied situations.</w:t>
      </w:r>
      <w:r w:rsidR="00337CAB">
        <w:rPr>
          <w:rStyle w:val="EndnoteReference"/>
          <w:rFonts w:ascii="Times New Roman" w:hAnsi="Times New Roman"/>
          <w:sz w:val="24"/>
          <w:szCs w:val="24"/>
        </w:rPr>
        <w:endnoteReference w:id="3"/>
      </w:r>
      <w:r w:rsidR="00337CAB">
        <w:rPr>
          <w:rFonts w:ascii="Times New Roman" w:hAnsi="Times New Roman"/>
          <w:sz w:val="24"/>
          <w:szCs w:val="24"/>
        </w:rPr>
        <w:t xml:space="preserve">  The </w:t>
      </w:r>
      <w:r w:rsidR="00337CAB">
        <w:rPr>
          <w:rFonts w:ascii="Times New Roman" w:hAnsi="Times New Roman"/>
          <w:i/>
          <w:sz w:val="24"/>
          <w:szCs w:val="24"/>
        </w:rPr>
        <w:t>SDM</w:t>
      </w:r>
      <w:r w:rsidR="00337CAB">
        <w:rPr>
          <w:rFonts w:ascii="Times New Roman" w:hAnsi="Times New Roman"/>
          <w:sz w:val="24"/>
          <w:szCs w:val="24"/>
        </w:rPr>
        <w:t xml:space="preserve"> includes both a spatial lag of the dependent variable (</w:t>
      </w:r>
      <m:oMath>
        <m:r>
          <w:rPr>
            <w:rFonts w:ascii="Cambria Math" w:hAnsi="Cambria Math"/>
            <w:sz w:val="24"/>
            <w:szCs w:val="24"/>
          </w:rPr>
          <m:t>Wy</m:t>
        </m:r>
      </m:oMath>
      <w:r w:rsidR="00337CAB">
        <w:rPr>
          <w:rFonts w:ascii="Times New Roman" w:hAnsi="Times New Roman"/>
          <w:sz w:val="24"/>
          <w:szCs w:val="24"/>
        </w:rPr>
        <w:t>) and the spatial lag of the explanatory variables (</w:t>
      </w:r>
      <m:oMath>
        <m:r>
          <w:rPr>
            <w:rFonts w:ascii="Cambria Math" w:hAnsi="Cambria Math"/>
            <w:sz w:val="24"/>
            <w:szCs w:val="24"/>
          </w:rPr>
          <m:t>WX</m:t>
        </m:r>
      </m:oMath>
      <w:r w:rsidR="00337CAB">
        <w:rPr>
          <w:rFonts w:ascii="Times New Roman" w:hAnsi="Times New Roman"/>
          <w:sz w:val="24"/>
          <w:szCs w:val="24"/>
        </w:rPr>
        <w:t>) and can be described by Equation 3:</w:t>
      </w:r>
    </w:p>
    <w:p w:rsidR="008D72B0" w:rsidRDefault="008D72B0" w:rsidP="000A1372">
      <w:pPr>
        <w:spacing w:after="0" w:line="480" w:lineRule="auto"/>
        <w:ind w:firstLine="720"/>
        <w:rPr>
          <w:rFonts w:ascii="Times New Roman" w:hAnsi="Times New Roman"/>
          <w:sz w:val="24"/>
          <w:szCs w:val="24"/>
        </w:rPr>
      </w:pPr>
    </w:p>
    <w:p w:rsidR="00337CAB" w:rsidRDefault="00337CAB" w:rsidP="00337CAB">
      <w:pPr>
        <w:tabs>
          <w:tab w:val="left" w:pos="3600"/>
          <w:tab w:val="left" w:pos="8640"/>
        </w:tabs>
        <w:spacing w:after="0" w:line="480" w:lineRule="auto"/>
        <w:rPr>
          <w:rFonts w:ascii="Times New Roman" w:hAnsi="Times New Roman"/>
          <w:sz w:val="24"/>
          <w:szCs w:val="24"/>
        </w:rPr>
      </w:pPr>
      <w:r>
        <w:rPr>
          <w:rFonts w:ascii="Times New Roman" w:hAnsi="Times New Roman"/>
          <w:sz w:val="24"/>
          <w:szCs w:val="24"/>
        </w:rPr>
        <w:t xml:space="preserve">                                                </w:t>
      </w:r>
      <m:oMath>
        <m:r>
          <w:rPr>
            <w:rFonts w:ascii="Cambria Math" w:hAnsi="Cambria Math"/>
            <w:sz w:val="24"/>
            <w:szCs w:val="24"/>
          </w:rPr>
          <m:t>y=α</m:t>
        </m:r>
        <m:sSub>
          <m:sSubPr>
            <m:ctrlPr>
              <w:rPr>
                <w:rFonts w:ascii="Cambria Math" w:hAnsi="Cambria Math"/>
                <w:i/>
                <w:sz w:val="24"/>
                <w:szCs w:val="24"/>
              </w:rPr>
            </m:ctrlPr>
          </m:sSubPr>
          <m:e>
            <m:r>
              <w:rPr>
                <w:rFonts w:ascii="Cambria Math" w:hAnsi="Cambria Math"/>
                <w:sz w:val="24"/>
                <w:szCs w:val="24"/>
              </w:rPr>
              <m:t>ι</m:t>
            </m:r>
          </m:e>
          <m:sub>
            <m:r>
              <w:rPr>
                <w:rFonts w:ascii="Cambria Math" w:hAnsi="Cambria Math"/>
                <w:sz w:val="24"/>
                <w:szCs w:val="24"/>
              </w:rPr>
              <m:t>n</m:t>
            </m:r>
          </m:sub>
        </m:sSub>
        <m:r>
          <w:rPr>
            <w:rFonts w:ascii="Cambria Math" w:hAnsi="Cambria Math"/>
            <w:sz w:val="24"/>
            <w:szCs w:val="24"/>
          </w:rPr>
          <m:t>+ ρWy+Xβ+WXθ+ε</m:t>
        </m:r>
      </m:oMath>
      <w:r>
        <w:rPr>
          <w:rFonts w:ascii="Times New Roman" w:hAnsi="Times New Roman"/>
          <w:sz w:val="24"/>
          <w:szCs w:val="24"/>
        </w:rPr>
        <w:tab/>
        <w:t xml:space="preserve">    (3)</w:t>
      </w:r>
    </w:p>
    <w:p w:rsidR="00337CAB" w:rsidRDefault="00337CAB" w:rsidP="00337CAB">
      <w:pPr>
        <w:tabs>
          <w:tab w:val="left" w:pos="3600"/>
          <w:tab w:val="left" w:pos="8640"/>
        </w:tabs>
        <w:spacing w:after="0" w:line="480" w:lineRule="auto"/>
        <w:rPr>
          <w:rFonts w:ascii="Times New Roman" w:hAnsi="Times New Roman"/>
          <w:sz w:val="24"/>
          <w:szCs w:val="24"/>
        </w:rPr>
      </w:pPr>
    </w:p>
    <w:p w:rsidR="00337CAB" w:rsidRDefault="00337CAB" w:rsidP="00337CAB">
      <w:pPr>
        <w:tabs>
          <w:tab w:val="left" w:pos="3600"/>
          <w:tab w:val="left" w:pos="8640"/>
        </w:tabs>
        <w:spacing w:after="0" w:line="480" w:lineRule="auto"/>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m:oMath>
        <m:r>
          <w:rPr>
            <w:rFonts w:ascii="Cambria Math" w:hAnsi="Cambria Math"/>
            <w:sz w:val="24"/>
            <w:szCs w:val="24"/>
          </w:rPr>
          <m:t>ε</m:t>
        </m:r>
      </m:oMath>
      <w:r>
        <w:rPr>
          <w:rFonts w:ascii="Times New Roman" w:hAnsi="Times New Roman"/>
          <w:sz w:val="24"/>
          <w:szCs w:val="24"/>
        </w:rPr>
        <w:t xml:space="preserve"> is assumed to be well behaved: </w:t>
      </w:r>
      <m:oMath>
        <m:r>
          <w:rPr>
            <w:rFonts w:ascii="Cambria Math" w:hAnsi="Cambria Math"/>
            <w:sz w:val="24"/>
            <w:szCs w:val="24"/>
          </w:rPr>
          <m:t>ε~N</m:t>
        </m:r>
        <m:d>
          <m:dPr>
            <m:ctrlPr>
              <w:rPr>
                <w:rFonts w:ascii="Cambria Math" w:hAnsi="Cambria Math"/>
                <w:i/>
                <w:sz w:val="24"/>
                <w:szCs w:val="24"/>
              </w:rPr>
            </m:ctrlPr>
          </m:dPr>
          <m:e>
            <m:r>
              <w:rPr>
                <w:rFonts w:ascii="Cambria Math" w:hAnsi="Cambria Math"/>
                <w:sz w:val="24"/>
                <w:szCs w:val="24"/>
              </w:rPr>
              <m:t xml:space="preserve">0, </m:t>
            </m:r>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e>
        </m:d>
      </m:oMath>
      <w:r>
        <w:rPr>
          <w:rFonts w:ascii="Times New Roman" w:hAnsi="Times New Roman"/>
          <w:sz w:val="24"/>
          <w:szCs w:val="24"/>
        </w:rPr>
        <w:t xml:space="preserve">.  </w:t>
      </w:r>
      <m:oMath>
        <m:r>
          <w:rPr>
            <w:rFonts w:ascii="Cambria Math" w:hAnsi="Cambria Math"/>
            <w:sz w:val="24"/>
            <w:szCs w:val="24"/>
          </w:rPr>
          <m:t>WX</m:t>
        </m:r>
      </m:oMath>
      <w:r w:rsidR="003436F7">
        <w:rPr>
          <w:rFonts w:ascii="Times New Roman" w:hAnsi="Times New Roman"/>
          <w:sz w:val="24"/>
          <w:szCs w:val="24"/>
        </w:rPr>
        <w:t xml:space="preserve"> </w:t>
      </w:r>
      <w:proofErr w:type="gramStart"/>
      <w:r w:rsidR="003436F7">
        <w:rPr>
          <w:rFonts w:ascii="Times New Roman" w:hAnsi="Times New Roman"/>
          <w:sz w:val="24"/>
          <w:szCs w:val="24"/>
        </w:rPr>
        <w:t>is</w:t>
      </w:r>
      <w:proofErr w:type="gramEnd"/>
      <w:r w:rsidR="003436F7">
        <w:rPr>
          <w:rFonts w:ascii="Times New Roman" w:hAnsi="Times New Roman"/>
          <w:sz w:val="24"/>
          <w:szCs w:val="24"/>
        </w:rPr>
        <w:t xml:space="preserve"> interpreted as the weighted average of the explanatory variables of neighboring states.  For example, the spatial lag of our median income is interpreted as the average median income of neighboring states.  </w:t>
      </w:r>
    </w:p>
    <w:p w:rsidR="003436F7" w:rsidRDefault="003436F7" w:rsidP="003436F7">
      <w:pPr>
        <w:spacing w:after="0" w:line="480" w:lineRule="auto"/>
        <w:rPr>
          <w:rFonts w:ascii="Times New Roman" w:hAnsi="Times New Roman"/>
          <w:sz w:val="24"/>
          <w:szCs w:val="24"/>
        </w:rPr>
      </w:pPr>
      <w:r>
        <w:rPr>
          <w:rFonts w:ascii="Times New Roman" w:hAnsi="Times New Roman"/>
          <w:sz w:val="24"/>
          <w:szCs w:val="24"/>
        </w:rPr>
        <w:tab/>
      </w:r>
      <w:r w:rsidR="008D72B0">
        <w:rPr>
          <w:rFonts w:ascii="Times New Roman" w:hAnsi="Times New Roman"/>
          <w:sz w:val="24"/>
          <w:szCs w:val="24"/>
        </w:rPr>
        <w:t xml:space="preserve">Interpreting the estimates from any model including </w:t>
      </w:r>
      <m:oMath>
        <m:r>
          <w:rPr>
            <w:rFonts w:ascii="Cambria Math" w:hAnsi="Cambria Math"/>
            <w:sz w:val="24"/>
            <w:szCs w:val="24"/>
          </w:rPr>
          <m:t>Wy</m:t>
        </m:r>
      </m:oMath>
      <w:r w:rsidR="008D72B0">
        <w:rPr>
          <w:rFonts w:ascii="Times New Roman" w:hAnsi="Times New Roman"/>
          <w:sz w:val="24"/>
          <w:szCs w:val="24"/>
        </w:rPr>
        <w:t xml:space="preserve"> on the right-hand-side is more complicated than simply looking at the estimated coefficient because the partial derivative with respect to a given independent variable is an n x n matrix rather than a scalar (see </w:t>
      </w:r>
      <w:proofErr w:type="spellStart"/>
      <w:r w:rsidR="008D72B0">
        <w:rPr>
          <w:rFonts w:ascii="Times New Roman" w:hAnsi="Times New Roman"/>
          <w:sz w:val="24"/>
          <w:szCs w:val="24"/>
        </w:rPr>
        <w:t>LeSage</w:t>
      </w:r>
      <w:proofErr w:type="spellEnd"/>
      <w:r w:rsidR="008D72B0">
        <w:rPr>
          <w:rFonts w:ascii="Times New Roman" w:hAnsi="Times New Roman"/>
          <w:sz w:val="24"/>
          <w:szCs w:val="24"/>
        </w:rPr>
        <w:t xml:space="preserve"> and </w:t>
      </w:r>
      <w:r w:rsidR="008D72B0">
        <w:rPr>
          <w:rFonts w:ascii="Times New Roman" w:hAnsi="Times New Roman"/>
          <w:sz w:val="24"/>
          <w:szCs w:val="24"/>
        </w:rPr>
        <w:lastRenderedPageBreak/>
        <w:t>Dominguez 2010).  In order to interpret such estimation results, one must compute the dir</w:t>
      </w:r>
      <w:r w:rsidR="00640E96">
        <w:rPr>
          <w:rFonts w:ascii="Times New Roman" w:hAnsi="Times New Roman"/>
          <w:sz w:val="24"/>
          <w:szCs w:val="24"/>
        </w:rPr>
        <w:t xml:space="preserve">ect and indirect effects (impacts), a process which is described in </w:t>
      </w:r>
      <w:proofErr w:type="spellStart"/>
      <w:r w:rsidR="00640E96">
        <w:rPr>
          <w:rFonts w:ascii="Times New Roman" w:hAnsi="Times New Roman"/>
          <w:sz w:val="24"/>
          <w:szCs w:val="24"/>
        </w:rPr>
        <w:t>LeSage</w:t>
      </w:r>
      <w:proofErr w:type="spellEnd"/>
      <w:r w:rsidR="00640E96">
        <w:rPr>
          <w:rFonts w:ascii="Times New Roman" w:hAnsi="Times New Roman"/>
          <w:sz w:val="24"/>
          <w:szCs w:val="24"/>
        </w:rPr>
        <w:t xml:space="preserve"> and Pace (2009).  </w:t>
      </w:r>
      <w:r w:rsidR="00617F67">
        <w:rPr>
          <w:rFonts w:ascii="Times New Roman" w:hAnsi="Times New Roman"/>
          <w:sz w:val="24"/>
          <w:szCs w:val="24"/>
        </w:rPr>
        <w:t>The direct effects are interpreted as the own effects—how does a given change impact the sales in the given state (including all feedback).  The indirect effects can be interpreted as the spillover effects on other states’ sales.  The total effects are the sum of the direct and indirect effects.</w:t>
      </w:r>
    </w:p>
    <w:p w:rsidR="009535E7" w:rsidRDefault="00640E96">
      <w:pPr>
        <w:spacing w:after="0" w:line="480" w:lineRule="auto"/>
        <w:rPr>
          <w:rFonts w:ascii="Times New Roman" w:hAnsi="Times New Roman"/>
          <w:sz w:val="24"/>
          <w:szCs w:val="24"/>
        </w:rPr>
      </w:pPr>
      <w:r>
        <w:rPr>
          <w:rFonts w:ascii="Times New Roman" w:hAnsi="Times New Roman"/>
          <w:sz w:val="24"/>
          <w:szCs w:val="24"/>
        </w:rPr>
        <w:tab/>
        <w:t>T</w:t>
      </w:r>
      <w:r w:rsidR="009535E7">
        <w:rPr>
          <w:rFonts w:ascii="Times New Roman" w:hAnsi="Times New Roman"/>
          <w:sz w:val="24"/>
          <w:szCs w:val="24"/>
        </w:rPr>
        <w:t xml:space="preserve">able 2 presents </w:t>
      </w:r>
      <w:r w:rsidRPr="00640E96">
        <w:rPr>
          <w:rFonts w:ascii="Times New Roman" w:hAnsi="Times New Roman"/>
          <w:i/>
          <w:sz w:val="24"/>
          <w:szCs w:val="24"/>
        </w:rPr>
        <w:t>SDM</w:t>
      </w:r>
      <w:r>
        <w:rPr>
          <w:rFonts w:ascii="Times New Roman" w:hAnsi="Times New Roman"/>
          <w:sz w:val="24"/>
          <w:szCs w:val="24"/>
        </w:rPr>
        <w:t xml:space="preserve"> estimates for a pooled model and an identical model with the addition of period fixed effects.  State fixed effects could not be estimated given the inclusion of the binary indicator variables for neighbors of Mexico and Canada and for those states in which Native American reservations are present.  </w:t>
      </w:r>
      <w:r w:rsidR="00832E99">
        <w:rPr>
          <w:rFonts w:ascii="Times New Roman" w:hAnsi="Times New Roman"/>
          <w:sz w:val="24"/>
          <w:szCs w:val="24"/>
        </w:rPr>
        <w:t>The sample includes annual data for the 48 contiguous states plus the District of Columbia over the period 1990 – 2009.</w:t>
      </w:r>
    </w:p>
    <w:p w:rsidR="00617F67" w:rsidRDefault="00617F67">
      <w:pPr>
        <w:spacing w:after="0" w:line="480" w:lineRule="auto"/>
        <w:rPr>
          <w:rFonts w:ascii="Times New Roman" w:hAnsi="Times New Roman"/>
          <w:sz w:val="24"/>
          <w:szCs w:val="24"/>
        </w:rPr>
      </w:pPr>
    </w:p>
    <w:p w:rsidR="009535E7" w:rsidRDefault="009535E7">
      <w:pPr>
        <w:spacing w:after="0" w:line="480" w:lineRule="auto"/>
        <w:jc w:val="center"/>
        <w:rPr>
          <w:rFonts w:ascii="Times New Roman" w:hAnsi="Times New Roman"/>
          <w:sz w:val="24"/>
          <w:szCs w:val="24"/>
        </w:rPr>
      </w:pPr>
      <w:r>
        <w:rPr>
          <w:rFonts w:ascii="Times New Roman" w:hAnsi="Times New Roman"/>
          <w:sz w:val="24"/>
          <w:szCs w:val="24"/>
        </w:rPr>
        <w:t>[Table 2 about here]</w:t>
      </w:r>
    </w:p>
    <w:p w:rsidR="009535E7" w:rsidRDefault="009535E7">
      <w:pPr>
        <w:spacing w:after="0" w:line="480" w:lineRule="auto"/>
        <w:rPr>
          <w:rFonts w:ascii="Times New Roman" w:hAnsi="Times New Roman"/>
          <w:sz w:val="24"/>
          <w:szCs w:val="24"/>
        </w:rPr>
      </w:pPr>
    </w:p>
    <w:p w:rsidR="009535E7" w:rsidRDefault="009535E7">
      <w:pPr>
        <w:spacing w:after="0" w:line="480" w:lineRule="auto"/>
        <w:rPr>
          <w:rFonts w:ascii="Times New Roman" w:hAnsi="Times New Roman"/>
          <w:sz w:val="24"/>
          <w:szCs w:val="24"/>
        </w:rPr>
      </w:pPr>
      <w:r>
        <w:rPr>
          <w:rFonts w:ascii="Times New Roman" w:hAnsi="Times New Roman"/>
          <w:sz w:val="24"/>
          <w:szCs w:val="24"/>
        </w:rPr>
        <w:t xml:space="preserve">  </w:t>
      </w:r>
      <w:r w:rsidR="008D39C9">
        <w:rPr>
          <w:rFonts w:ascii="Times New Roman" w:hAnsi="Times New Roman"/>
          <w:sz w:val="24"/>
          <w:szCs w:val="24"/>
        </w:rPr>
        <w:tab/>
        <w:t xml:space="preserve">Before turning to the variable of interest, we first summarize the estimated effects of the control variables, all of which are consistent with our priors.  A one percentage point increase in smoking prevalence within a given state is estimated to increase sales within that state by </w:t>
      </w:r>
      <w:r w:rsidR="00063BF4">
        <w:rPr>
          <w:rFonts w:ascii="Times New Roman" w:hAnsi="Times New Roman"/>
          <w:sz w:val="24"/>
          <w:szCs w:val="24"/>
        </w:rPr>
        <w:t>a little more than 4</w:t>
      </w:r>
      <w:r w:rsidR="008D39C9">
        <w:rPr>
          <w:rFonts w:ascii="Times New Roman" w:hAnsi="Times New Roman"/>
          <w:sz w:val="24"/>
          <w:szCs w:val="24"/>
        </w:rPr>
        <w:t xml:space="preserve"> packs per person.  A one dollar increase in state-</w:t>
      </w:r>
      <w:r w:rsidR="008D39C9" w:rsidRPr="008D39C9">
        <w:rPr>
          <w:rFonts w:ascii="Times New Roman" w:hAnsi="Times New Roman"/>
          <w:i/>
          <w:sz w:val="24"/>
          <w:szCs w:val="24"/>
        </w:rPr>
        <w:t>i</w:t>
      </w:r>
      <w:r w:rsidR="008D39C9">
        <w:rPr>
          <w:rFonts w:ascii="Times New Roman" w:hAnsi="Times New Roman"/>
          <w:sz w:val="24"/>
          <w:szCs w:val="24"/>
        </w:rPr>
        <w:t xml:space="preserve">’s pre-tax price is estimated to reduce per capita sales within that </w:t>
      </w:r>
      <w:r w:rsidR="00063BF4">
        <w:rPr>
          <w:rFonts w:ascii="Times New Roman" w:hAnsi="Times New Roman"/>
          <w:sz w:val="24"/>
          <w:szCs w:val="24"/>
        </w:rPr>
        <w:t>state by over 17 packs per year</w:t>
      </w:r>
      <w:r w:rsidR="008D39C9">
        <w:rPr>
          <w:rFonts w:ascii="Times New Roman" w:hAnsi="Times New Roman"/>
          <w:sz w:val="24"/>
          <w:szCs w:val="24"/>
        </w:rPr>
        <w:t xml:space="preserve"> while</w:t>
      </w:r>
      <w:r w:rsidR="00063BF4">
        <w:rPr>
          <w:rFonts w:ascii="Times New Roman" w:hAnsi="Times New Roman"/>
          <w:sz w:val="24"/>
          <w:szCs w:val="24"/>
        </w:rPr>
        <w:t xml:space="preserve"> decreasing per capita sales by over 7 packs annually in other states (combined)</w:t>
      </w:r>
      <w:r w:rsidR="008D39C9">
        <w:rPr>
          <w:rFonts w:ascii="Times New Roman" w:hAnsi="Times New Roman"/>
          <w:sz w:val="24"/>
          <w:szCs w:val="24"/>
        </w:rPr>
        <w:t>.</w:t>
      </w:r>
      <w:r w:rsidR="00063BF4">
        <w:rPr>
          <w:rFonts w:ascii="Times New Roman" w:hAnsi="Times New Roman"/>
          <w:sz w:val="24"/>
          <w:szCs w:val="24"/>
        </w:rPr>
        <w:t xml:space="preserve">  Median income exerts a positive but insignificant impact on state-</w:t>
      </w:r>
      <w:r w:rsidR="00063BF4" w:rsidRPr="008D39C9">
        <w:rPr>
          <w:rFonts w:ascii="Times New Roman" w:hAnsi="Times New Roman"/>
          <w:i/>
          <w:sz w:val="24"/>
          <w:szCs w:val="24"/>
        </w:rPr>
        <w:t>i</w:t>
      </w:r>
      <w:r w:rsidR="00063BF4">
        <w:rPr>
          <w:rFonts w:ascii="Times New Roman" w:hAnsi="Times New Roman"/>
          <w:sz w:val="24"/>
          <w:szCs w:val="24"/>
        </w:rPr>
        <w:t xml:space="preserve">’s sales and a relatively small and negative indirect impact on other states.  States bordering Canada, where cigarettes are generally more expensive, experience more than a 4 packs per capita increase in sales.  Furthermore, the indirect effect is also positive at roughly 7.5 packs per capita, an impact that is mostly experienced in those states closest to the </w:t>
      </w:r>
      <w:r w:rsidR="00063BF4">
        <w:rPr>
          <w:rFonts w:ascii="Times New Roman" w:hAnsi="Times New Roman"/>
          <w:sz w:val="24"/>
          <w:szCs w:val="24"/>
        </w:rPr>
        <w:lastRenderedPageBreak/>
        <w:t xml:space="preserve">Canadian-border-state.  Equally intuitive, the Border Mexico and Indian Reservation binary variables exert negative direct and indirect effects, supporting the claim that consumers are avoiding taxation </w:t>
      </w:r>
      <w:r w:rsidR="006B4575">
        <w:rPr>
          <w:rFonts w:ascii="Times New Roman" w:hAnsi="Times New Roman"/>
          <w:sz w:val="24"/>
          <w:szCs w:val="24"/>
        </w:rPr>
        <w:t>by purchasing their smokes elsewhere</w:t>
      </w:r>
      <w:r w:rsidR="00063BF4">
        <w:rPr>
          <w:rFonts w:ascii="Times New Roman" w:hAnsi="Times New Roman"/>
          <w:sz w:val="24"/>
          <w:szCs w:val="24"/>
        </w:rPr>
        <w:t>.</w:t>
      </w:r>
    </w:p>
    <w:p w:rsidR="0020111A" w:rsidRDefault="0020111A">
      <w:pPr>
        <w:spacing w:after="0" w:line="480" w:lineRule="auto"/>
        <w:rPr>
          <w:rFonts w:ascii="Times New Roman" w:hAnsi="Times New Roman"/>
          <w:sz w:val="24"/>
          <w:szCs w:val="24"/>
        </w:rPr>
      </w:pPr>
      <w:r>
        <w:rPr>
          <w:rFonts w:ascii="Times New Roman" w:hAnsi="Times New Roman"/>
          <w:sz w:val="24"/>
          <w:szCs w:val="24"/>
        </w:rPr>
        <w:tab/>
      </w:r>
      <w:r w:rsidR="00935E5F">
        <w:rPr>
          <w:rFonts w:ascii="Times New Roman" w:hAnsi="Times New Roman"/>
          <w:sz w:val="24"/>
          <w:szCs w:val="24"/>
        </w:rPr>
        <w:t>Our variable of interest,</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proofErr w:type="gramStart"/>
      <w:r w:rsidR="00935E5F">
        <w:rPr>
          <w:rFonts w:ascii="Times New Roman" w:hAnsi="Times New Roman"/>
          <w:sz w:val="24"/>
          <w:szCs w:val="24"/>
        </w:rPr>
        <w:t>,</w:t>
      </w:r>
      <w:proofErr w:type="gramEnd"/>
      <w:r w:rsidR="00935E5F">
        <w:rPr>
          <w:rFonts w:ascii="Times New Roman" w:hAnsi="Times New Roman"/>
          <w:sz w:val="24"/>
          <w:szCs w:val="24"/>
        </w:rPr>
        <w:t xml:space="preserve"> is estimated to exert statistically significant impacts on per capita sales.  Specifically, a one standard deviation increase in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r w:rsidR="00935E5F">
        <w:rPr>
          <w:rFonts w:ascii="Times New Roman" w:hAnsi="Times New Roman"/>
          <w:sz w:val="24"/>
          <w:szCs w:val="24"/>
        </w:rPr>
        <w:t xml:space="preserve"> (as would result with a reduction in state-</w:t>
      </w:r>
      <w:r w:rsidR="00935E5F" w:rsidRPr="00935E5F">
        <w:rPr>
          <w:rFonts w:ascii="Times New Roman" w:hAnsi="Times New Roman"/>
          <w:i/>
          <w:sz w:val="24"/>
          <w:szCs w:val="24"/>
        </w:rPr>
        <w:t>i</w:t>
      </w:r>
      <w:r w:rsidR="00935E5F">
        <w:rPr>
          <w:rFonts w:ascii="Times New Roman" w:hAnsi="Times New Roman"/>
          <w:sz w:val="24"/>
          <w:szCs w:val="24"/>
        </w:rPr>
        <w:t xml:space="preserve">’s tax rate) is estimated to increase annual per capita sales in that state by nearly 10 packs.  The negative indirect effect indicates that the same one standard deviation increase in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r w:rsidR="00935E5F">
        <w:rPr>
          <w:rFonts w:ascii="Times New Roman" w:hAnsi="Times New Roman"/>
          <w:sz w:val="24"/>
          <w:szCs w:val="24"/>
        </w:rPr>
        <w:t xml:space="preserve"> reduces sales in other states by a combined 8 packs annually, with most of this reduction being observed in contiguous states. </w:t>
      </w:r>
      <w:r w:rsidR="00DB1AED">
        <w:rPr>
          <w:rFonts w:ascii="Times New Roman" w:hAnsi="Times New Roman"/>
          <w:sz w:val="24"/>
          <w:szCs w:val="24"/>
        </w:rPr>
        <w:t xml:space="preserve"> Thus, the total effect (direct + indirect) of a one standard deviation increase in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r w:rsidR="00DB1AED">
        <w:rPr>
          <w:rFonts w:ascii="Times New Roman" w:hAnsi="Times New Roman"/>
          <w:sz w:val="24"/>
          <w:szCs w:val="24"/>
        </w:rPr>
        <w:t xml:space="preserve"> is to increase annual per capita sales by roughly two packs.</w:t>
      </w:r>
    </w:p>
    <w:p w:rsidR="00924930" w:rsidRDefault="00924930">
      <w:pPr>
        <w:spacing w:after="0" w:line="480" w:lineRule="auto"/>
        <w:rPr>
          <w:rFonts w:ascii="Times New Roman" w:hAnsi="Times New Roman"/>
          <w:sz w:val="24"/>
          <w:szCs w:val="24"/>
        </w:rPr>
      </w:pPr>
    </w:p>
    <w:p w:rsidR="00924930" w:rsidRDefault="00924930" w:rsidP="00924930">
      <w:pPr>
        <w:spacing w:after="0" w:line="480" w:lineRule="auto"/>
        <w:rPr>
          <w:rFonts w:ascii="Times New Roman" w:hAnsi="Times New Roman"/>
          <w:sz w:val="24"/>
          <w:szCs w:val="24"/>
        </w:rPr>
      </w:pPr>
      <w:r>
        <w:rPr>
          <w:rFonts w:ascii="Times New Roman" w:hAnsi="Times New Roman"/>
          <w:bCs/>
          <w:sz w:val="32"/>
          <w:szCs w:val="32"/>
        </w:rPr>
        <w:tab/>
        <w:t>3.2 Habit Formation Model</w:t>
      </w:r>
    </w:p>
    <w:p w:rsidR="009535E7" w:rsidRDefault="006411E4">
      <w:pPr>
        <w:spacing w:after="0" w:line="480" w:lineRule="auto"/>
        <w:rPr>
          <w:rFonts w:ascii="Times New Roman" w:hAnsi="Times New Roman"/>
          <w:sz w:val="24"/>
          <w:szCs w:val="24"/>
        </w:rPr>
      </w:pPr>
      <w:r>
        <w:rPr>
          <w:rFonts w:ascii="Times New Roman" w:hAnsi="Times New Roman"/>
          <w:sz w:val="24"/>
          <w:szCs w:val="24"/>
        </w:rPr>
        <w:t xml:space="preserve">Cigarette demand commonly accepted in the literature to exhibit habit-formation.  Habit formation implies that current demand preferences depend upon or are influenced by past consumption.  Galbraith and </w:t>
      </w:r>
      <w:proofErr w:type="spellStart"/>
      <w:r>
        <w:rPr>
          <w:rFonts w:ascii="Times New Roman" w:hAnsi="Times New Roman"/>
          <w:sz w:val="24"/>
          <w:szCs w:val="24"/>
        </w:rPr>
        <w:t>Kaiserman</w:t>
      </w:r>
      <w:proofErr w:type="spellEnd"/>
      <w:r>
        <w:rPr>
          <w:rFonts w:ascii="Times New Roman" w:hAnsi="Times New Roman"/>
          <w:sz w:val="24"/>
          <w:szCs w:val="24"/>
        </w:rPr>
        <w:t xml:space="preserve"> (1997), </w:t>
      </w:r>
      <w:proofErr w:type="spellStart"/>
      <w:r>
        <w:rPr>
          <w:rFonts w:ascii="Times New Roman" w:hAnsi="Times New Roman"/>
          <w:sz w:val="24"/>
          <w:szCs w:val="24"/>
        </w:rPr>
        <w:t>Chaloupka</w:t>
      </w:r>
      <w:proofErr w:type="spellEnd"/>
      <w:r>
        <w:rPr>
          <w:rFonts w:ascii="Times New Roman" w:hAnsi="Times New Roman"/>
          <w:sz w:val="24"/>
          <w:szCs w:val="24"/>
        </w:rPr>
        <w:t xml:space="preserve"> (1991), Keeler et al. (1993), </w:t>
      </w:r>
      <w:proofErr w:type="spellStart"/>
      <w:r>
        <w:rPr>
          <w:rFonts w:ascii="Times New Roman" w:hAnsi="Times New Roman"/>
          <w:sz w:val="24"/>
          <w:szCs w:val="24"/>
        </w:rPr>
        <w:t>Baltagi</w:t>
      </w:r>
      <w:proofErr w:type="spellEnd"/>
      <w:r>
        <w:rPr>
          <w:rFonts w:ascii="Times New Roman" w:hAnsi="Times New Roman"/>
          <w:sz w:val="24"/>
          <w:szCs w:val="24"/>
        </w:rPr>
        <w:t xml:space="preserve"> and Levin (1986), and </w:t>
      </w:r>
      <w:proofErr w:type="spellStart"/>
      <w:r>
        <w:rPr>
          <w:rFonts w:ascii="Times New Roman" w:hAnsi="Times New Roman"/>
          <w:sz w:val="24"/>
          <w:szCs w:val="24"/>
        </w:rPr>
        <w:t>Goel</w:t>
      </w:r>
      <w:proofErr w:type="spellEnd"/>
      <w:r>
        <w:rPr>
          <w:rFonts w:ascii="Times New Roman" w:hAnsi="Times New Roman"/>
          <w:sz w:val="24"/>
          <w:szCs w:val="24"/>
        </w:rPr>
        <w:t xml:space="preserve"> and Nelson (2011) all discuss various methods for modeling habit-forming effects of cigarette consumption.  Common methods include </w:t>
      </w:r>
      <w:r w:rsidR="00D33EA4">
        <w:rPr>
          <w:rFonts w:ascii="Times New Roman" w:hAnsi="Times New Roman"/>
          <w:sz w:val="24"/>
          <w:szCs w:val="24"/>
        </w:rPr>
        <w:t xml:space="preserve">adding lagged consumption as an explanatory variable or addressing the autocorrelation in the error structure.  We opt for the latter and adopt the estimation technique described by </w:t>
      </w:r>
      <w:proofErr w:type="spellStart"/>
      <w:r w:rsidR="00D33EA4">
        <w:rPr>
          <w:rFonts w:ascii="Times New Roman" w:hAnsi="Times New Roman"/>
          <w:sz w:val="24"/>
          <w:szCs w:val="24"/>
        </w:rPr>
        <w:t>Elhorst</w:t>
      </w:r>
      <w:proofErr w:type="spellEnd"/>
      <w:r w:rsidR="00D33EA4">
        <w:rPr>
          <w:rFonts w:ascii="Times New Roman" w:hAnsi="Times New Roman"/>
          <w:sz w:val="24"/>
          <w:szCs w:val="24"/>
        </w:rPr>
        <w:t xml:space="preserve"> (2008), which allows for both serial and spatial error correlation.  The econometric model is described by Equations 4 and 5:</w:t>
      </w:r>
    </w:p>
    <w:p w:rsidR="00D33EA4" w:rsidRDefault="00D33EA4">
      <w:pPr>
        <w:spacing w:after="0" w:line="480" w:lineRule="auto"/>
        <w:rPr>
          <w:rFonts w:ascii="Times New Roman" w:hAnsi="Times New Roman"/>
          <w:sz w:val="24"/>
          <w:szCs w:val="24"/>
        </w:rPr>
      </w:pPr>
    </w:p>
    <w:p w:rsidR="00D33EA4" w:rsidRDefault="00D33EA4" w:rsidP="00D33EA4">
      <w:pPr>
        <w:tabs>
          <w:tab w:val="left" w:pos="3600"/>
          <w:tab w:val="left" w:pos="8640"/>
        </w:tabs>
        <w:spacing w:after="0" w:line="480" w:lineRule="auto"/>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m:t>
            </m:r>
          </m:sub>
        </m:sSub>
        <m:r>
          <w:rPr>
            <w:rFonts w:ascii="Cambria Math" w:hAnsi="Cambria Math"/>
            <w:sz w:val="24"/>
            <w:szCs w:val="24"/>
          </w:rPr>
          <m:t>=α</m:t>
        </m:r>
        <m:sSub>
          <m:sSubPr>
            <m:ctrlPr>
              <w:rPr>
                <w:rFonts w:ascii="Cambria Math" w:hAnsi="Cambria Math"/>
                <w:i/>
                <w:sz w:val="24"/>
                <w:szCs w:val="24"/>
              </w:rPr>
            </m:ctrlPr>
          </m:sSubPr>
          <m:e>
            <m:r>
              <w:rPr>
                <w:rFonts w:ascii="Cambria Math" w:hAnsi="Cambria Math"/>
                <w:sz w:val="24"/>
                <w:szCs w:val="24"/>
              </w:rPr>
              <m:t>ι</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r>
          <w:rPr>
            <w:rFonts w:ascii="Cambria Math" w:hAnsi="Cambria Math"/>
            <w:sz w:val="24"/>
            <w:szCs w:val="24"/>
          </w:rPr>
          <m:t>β+</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w:r>
        <w:rPr>
          <w:rFonts w:ascii="Times New Roman" w:hAnsi="Times New Roman"/>
          <w:sz w:val="24"/>
          <w:szCs w:val="24"/>
        </w:rPr>
        <w:tab/>
        <w:t xml:space="preserve">    (4)</w:t>
      </w:r>
    </w:p>
    <w:p w:rsidR="00D33EA4" w:rsidRDefault="00D33EA4" w:rsidP="00D33EA4">
      <w:pPr>
        <w:tabs>
          <w:tab w:val="left" w:pos="3600"/>
          <w:tab w:val="left" w:pos="8640"/>
        </w:tabs>
        <w:spacing w:after="0" w:line="480" w:lineRule="auto"/>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r>
          <w:rPr>
            <w:rFonts w:ascii="Cambria Math" w:hAnsi="Cambria Math"/>
            <w:sz w:val="24"/>
            <w:szCs w:val="24"/>
          </w:rPr>
          <m:t>= λW</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r>
          <w:rPr>
            <w:rFonts w:ascii="Cambria Math" w:hAnsi="Cambria Math"/>
            <w:sz w:val="24"/>
            <w:szCs w:val="24"/>
          </w:rPr>
          <m:t>+ ρ</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ν</m:t>
            </m:r>
          </m:e>
          <m:sub>
            <m:r>
              <w:rPr>
                <w:rFonts w:ascii="Cambria Math" w:hAnsi="Cambria Math"/>
                <w:sz w:val="24"/>
                <w:szCs w:val="24"/>
              </w:rPr>
              <m:t>it</m:t>
            </m:r>
          </m:sub>
        </m:sSub>
      </m:oMath>
      <w:r>
        <w:rPr>
          <w:rFonts w:ascii="Times New Roman" w:hAnsi="Times New Roman"/>
          <w:sz w:val="24"/>
          <w:szCs w:val="24"/>
        </w:rPr>
        <w:tab/>
        <w:t xml:space="preserve">    (5)</w:t>
      </w:r>
    </w:p>
    <w:p w:rsidR="00D33EA4" w:rsidRDefault="00DB1AED" w:rsidP="00D33EA4">
      <w:pPr>
        <w:tabs>
          <w:tab w:val="left" w:pos="3600"/>
          <w:tab w:val="left" w:pos="8640"/>
        </w:tabs>
        <w:spacing w:after="0" w:line="480" w:lineRule="auto"/>
        <w:rPr>
          <w:rFonts w:ascii="Times New Roman" w:hAnsi="Times New Roman"/>
          <w:sz w:val="24"/>
          <w:szCs w:val="24"/>
        </w:rPr>
      </w:pPr>
      <w:proofErr w:type="gramStart"/>
      <w:r>
        <w:rPr>
          <w:rFonts w:ascii="Times New Roman" w:hAnsi="Times New Roman"/>
          <w:sz w:val="24"/>
          <w:szCs w:val="24"/>
        </w:rPr>
        <w:lastRenderedPageBreak/>
        <w:t xml:space="preserve">where </w:t>
      </w:r>
      <w:proofErr w:type="gramEnd"/>
      <m:oMath>
        <m:r>
          <w:rPr>
            <w:rFonts w:ascii="Cambria Math" w:hAnsi="Cambria Math"/>
            <w:sz w:val="24"/>
            <w:szCs w:val="24"/>
          </w:rPr>
          <m:t>ν~N</m:t>
        </m:r>
        <m:d>
          <m:dPr>
            <m:ctrlPr>
              <w:rPr>
                <w:rFonts w:ascii="Cambria Math" w:hAnsi="Cambria Math"/>
                <w:i/>
                <w:sz w:val="24"/>
                <w:szCs w:val="24"/>
              </w:rPr>
            </m:ctrlPr>
          </m:dPr>
          <m:e>
            <m:r>
              <w:rPr>
                <w:rFonts w:ascii="Cambria Math" w:hAnsi="Cambria Math"/>
                <w:sz w:val="24"/>
                <w:szCs w:val="24"/>
              </w:rPr>
              <m:t xml:space="preserve">0, </m:t>
            </m:r>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e>
        </m:d>
      </m:oMath>
      <w:r>
        <w:rPr>
          <w:rFonts w:ascii="Times New Roman" w:hAnsi="Times New Roman"/>
          <w:sz w:val="24"/>
          <w:szCs w:val="24"/>
        </w:rPr>
        <w:t>.  Estimation results of the serial and spatial error correlation model are presented in Table 3.</w:t>
      </w:r>
    </w:p>
    <w:p w:rsidR="00DB1AED" w:rsidRDefault="00DB1AED" w:rsidP="00D33EA4">
      <w:pPr>
        <w:tabs>
          <w:tab w:val="left" w:pos="3600"/>
          <w:tab w:val="left" w:pos="8640"/>
        </w:tabs>
        <w:spacing w:after="0" w:line="480" w:lineRule="auto"/>
        <w:rPr>
          <w:rFonts w:ascii="Times New Roman" w:hAnsi="Times New Roman"/>
          <w:sz w:val="24"/>
          <w:szCs w:val="24"/>
        </w:rPr>
      </w:pPr>
    </w:p>
    <w:p w:rsidR="00DB1AED" w:rsidRDefault="00DB1AED" w:rsidP="00DB1AED">
      <w:pPr>
        <w:spacing w:after="0" w:line="480" w:lineRule="auto"/>
        <w:jc w:val="center"/>
        <w:rPr>
          <w:rFonts w:ascii="Times New Roman" w:hAnsi="Times New Roman"/>
          <w:sz w:val="24"/>
          <w:szCs w:val="24"/>
        </w:rPr>
      </w:pPr>
      <w:r>
        <w:rPr>
          <w:rFonts w:ascii="Times New Roman" w:hAnsi="Times New Roman"/>
          <w:sz w:val="24"/>
          <w:szCs w:val="24"/>
        </w:rPr>
        <w:t>[Table 3 about here]</w:t>
      </w:r>
    </w:p>
    <w:p w:rsidR="00DB1AED" w:rsidRDefault="00DB1AED" w:rsidP="00D33EA4">
      <w:pPr>
        <w:tabs>
          <w:tab w:val="left" w:pos="3600"/>
          <w:tab w:val="left" w:pos="8640"/>
        </w:tabs>
        <w:spacing w:after="0" w:line="480" w:lineRule="auto"/>
        <w:rPr>
          <w:rFonts w:ascii="Times New Roman" w:hAnsi="Times New Roman"/>
          <w:sz w:val="24"/>
          <w:szCs w:val="24"/>
        </w:rPr>
      </w:pPr>
    </w:p>
    <w:p w:rsidR="00D33EA4" w:rsidRPr="006411E4" w:rsidRDefault="00DB1AED">
      <w:pPr>
        <w:spacing w:after="0" w:line="480" w:lineRule="auto"/>
        <w:rPr>
          <w:rFonts w:ascii="Times New Roman" w:hAnsi="Times New Roman"/>
          <w:sz w:val="24"/>
          <w:szCs w:val="24"/>
        </w:rPr>
      </w:pPr>
      <w:r>
        <w:rPr>
          <w:rFonts w:ascii="Times New Roman" w:hAnsi="Times New Roman"/>
          <w:sz w:val="24"/>
          <w:szCs w:val="24"/>
        </w:rPr>
        <w:tab/>
      </w:r>
      <w:r w:rsidR="006612BC">
        <w:rPr>
          <w:rFonts w:ascii="Times New Roman" w:hAnsi="Times New Roman"/>
          <w:sz w:val="24"/>
          <w:szCs w:val="24"/>
        </w:rPr>
        <w:t xml:space="preserve">Both the serial and spatial error correlation parameters (rho and lambda, respectively) are found to be highly statistically significant.  </w:t>
      </w:r>
      <w:r>
        <w:rPr>
          <w:rFonts w:ascii="Times New Roman" w:hAnsi="Times New Roman"/>
          <w:sz w:val="24"/>
          <w:szCs w:val="24"/>
        </w:rPr>
        <w:t xml:space="preserve">Allowing for serial error correlation does reduce the statistical significance of many of the control variables; however, the statistical and economic significance of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r>
        <w:rPr>
          <w:rFonts w:ascii="Times New Roman" w:hAnsi="Times New Roman"/>
          <w:sz w:val="24"/>
          <w:szCs w:val="24"/>
        </w:rPr>
        <w:t xml:space="preserve"> remains unchanged.  </w:t>
      </w:r>
      <w:r w:rsidR="007404F3">
        <w:rPr>
          <w:rFonts w:ascii="Times New Roman" w:hAnsi="Times New Roman"/>
          <w:sz w:val="24"/>
          <w:szCs w:val="24"/>
        </w:rPr>
        <w:t>While the sign of the coefficients of a</w:t>
      </w:r>
      <w:r w:rsidR="006612BC">
        <w:rPr>
          <w:rFonts w:ascii="Times New Roman" w:hAnsi="Times New Roman"/>
          <w:sz w:val="24"/>
          <w:szCs w:val="24"/>
        </w:rPr>
        <w:t>ll control variables</w:t>
      </w:r>
      <w:r w:rsidR="007404F3">
        <w:rPr>
          <w:rFonts w:ascii="Times New Roman" w:hAnsi="Times New Roman"/>
          <w:sz w:val="24"/>
          <w:szCs w:val="24"/>
        </w:rPr>
        <w:t xml:space="preserve"> maintained the “correct” signs, many are now found to be statistically insignificant.  The exception being the </w:t>
      </w:r>
      <w:r w:rsidR="006612BC" w:rsidRPr="006612BC">
        <w:rPr>
          <w:rFonts w:ascii="Times New Roman" w:hAnsi="Times New Roman"/>
          <w:i/>
          <w:sz w:val="24"/>
          <w:szCs w:val="24"/>
        </w:rPr>
        <w:t>Border Mexico</w:t>
      </w:r>
      <w:r w:rsidR="006612BC">
        <w:rPr>
          <w:rFonts w:ascii="Times New Roman" w:hAnsi="Times New Roman"/>
          <w:sz w:val="24"/>
          <w:szCs w:val="24"/>
        </w:rPr>
        <w:t xml:space="preserve"> variable</w:t>
      </w:r>
      <w:r w:rsidR="007404F3">
        <w:rPr>
          <w:rFonts w:ascii="Times New Roman" w:hAnsi="Times New Roman"/>
          <w:sz w:val="24"/>
          <w:szCs w:val="24"/>
        </w:rPr>
        <w:t>; states bordering Mexico are estimated to observe a 46 pack reduction in per capita sales, all else constant</w:t>
      </w:r>
      <w:r w:rsidR="006612BC">
        <w:rPr>
          <w:rFonts w:ascii="Times New Roman" w:hAnsi="Times New Roman"/>
          <w:sz w:val="24"/>
          <w:szCs w:val="24"/>
        </w:rPr>
        <w:t xml:space="preserve">.  </w:t>
      </w:r>
      <w:r w:rsidR="007404F3">
        <w:rPr>
          <w:rFonts w:ascii="Times New Roman" w:hAnsi="Times New Roman"/>
          <w:sz w:val="24"/>
          <w:szCs w:val="24"/>
        </w:rPr>
        <w:t xml:space="preserve">Turning to our variable of interest, </w:t>
      </w:r>
      <w:r w:rsidR="006612BC">
        <w:rPr>
          <w:rFonts w:ascii="Times New Roman" w:hAnsi="Times New Roman"/>
          <w:sz w:val="24"/>
          <w:szCs w:val="24"/>
        </w:rPr>
        <w:t xml:space="preserve">one standard deviation increase in </w:t>
      </w:r>
      <m:oMath>
        <m:sSub>
          <m:sSubPr>
            <m:ctrlPr>
              <w:rPr>
                <w:rFonts w:ascii="Cambria Math" w:hAnsi="Cambria Math"/>
                <w:i/>
                <w:sz w:val="24"/>
                <w:szCs w:val="24"/>
              </w:rPr>
            </m:ctrlPr>
          </m:sSubPr>
          <m:e>
            <m:r>
              <w:rPr>
                <w:rFonts w:ascii="Cambria Math" w:hAnsi="Cambria Math"/>
                <w:sz w:val="24"/>
                <w:szCs w:val="24"/>
              </w:rPr>
              <m:t>DSTD</m:t>
            </m:r>
          </m:e>
          <m:sub>
            <m:r>
              <w:rPr>
                <w:rFonts w:ascii="Cambria Math" w:hAnsi="Cambria Math"/>
                <w:sz w:val="24"/>
                <w:szCs w:val="24"/>
              </w:rPr>
              <m:t>i</m:t>
            </m:r>
          </m:sub>
        </m:sSub>
      </m:oMath>
      <w:r w:rsidR="006612BC">
        <w:rPr>
          <w:rFonts w:ascii="Times New Roman" w:hAnsi="Times New Roman"/>
          <w:sz w:val="24"/>
          <w:szCs w:val="24"/>
        </w:rPr>
        <w:t xml:space="preserve"> is estimated to increase state-</w:t>
      </w:r>
      <w:r w:rsidR="006612BC" w:rsidRPr="006612BC">
        <w:rPr>
          <w:rFonts w:ascii="Times New Roman" w:hAnsi="Times New Roman"/>
          <w:i/>
          <w:sz w:val="24"/>
          <w:szCs w:val="24"/>
        </w:rPr>
        <w:t>i</w:t>
      </w:r>
      <w:r w:rsidR="006612BC">
        <w:rPr>
          <w:rFonts w:ascii="Times New Roman" w:hAnsi="Times New Roman"/>
          <w:sz w:val="24"/>
          <w:szCs w:val="24"/>
        </w:rPr>
        <w:t xml:space="preserve">’s annual per capita sales by almost 4 packs per year.  While less than half the direct effect estimate from the </w:t>
      </w:r>
      <w:r w:rsidR="006612BC" w:rsidRPr="002D08D6">
        <w:rPr>
          <w:rFonts w:ascii="Times New Roman" w:hAnsi="Times New Roman"/>
          <w:i/>
          <w:sz w:val="24"/>
          <w:szCs w:val="24"/>
        </w:rPr>
        <w:t>SDM</w:t>
      </w:r>
      <w:r w:rsidR="006612BC">
        <w:rPr>
          <w:rFonts w:ascii="Times New Roman" w:hAnsi="Times New Roman"/>
          <w:sz w:val="24"/>
          <w:szCs w:val="24"/>
        </w:rPr>
        <w:t xml:space="preserve">, </w:t>
      </w:r>
      <w:r w:rsidR="002D08D6">
        <w:rPr>
          <w:rFonts w:ascii="Times New Roman" w:hAnsi="Times New Roman"/>
          <w:sz w:val="24"/>
          <w:szCs w:val="24"/>
        </w:rPr>
        <w:t>the impact is still large in magnitude and should be interpreted as economically significant.</w:t>
      </w:r>
    </w:p>
    <w:p w:rsidR="00924930" w:rsidRPr="006411E4" w:rsidRDefault="00924930">
      <w:pPr>
        <w:spacing w:after="0" w:line="480" w:lineRule="auto"/>
        <w:rPr>
          <w:sz w:val="24"/>
          <w:szCs w:val="24"/>
        </w:rPr>
      </w:pPr>
    </w:p>
    <w:p w:rsidR="00924930" w:rsidRDefault="00924930" w:rsidP="00924930">
      <w:pPr>
        <w:spacing w:after="0" w:line="480" w:lineRule="auto"/>
        <w:rPr>
          <w:rFonts w:ascii="Times New Roman" w:hAnsi="Times New Roman"/>
          <w:bCs/>
          <w:sz w:val="32"/>
          <w:szCs w:val="32"/>
        </w:rPr>
      </w:pPr>
      <w:r>
        <w:rPr>
          <w:rFonts w:ascii="Times New Roman" w:hAnsi="Times New Roman"/>
          <w:bCs/>
          <w:sz w:val="32"/>
          <w:szCs w:val="32"/>
        </w:rPr>
        <w:t>4</w:t>
      </w:r>
      <w:r w:rsidRPr="00291080">
        <w:rPr>
          <w:rFonts w:ascii="Times New Roman" w:hAnsi="Times New Roman"/>
          <w:bCs/>
          <w:sz w:val="32"/>
          <w:szCs w:val="32"/>
        </w:rPr>
        <w:t xml:space="preserve">. </w:t>
      </w:r>
      <w:r>
        <w:rPr>
          <w:rFonts w:ascii="Times New Roman" w:hAnsi="Times New Roman"/>
          <w:bCs/>
          <w:sz w:val="32"/>
          <w:szCs w:val="32"/>
        </w:rPr>
        <w:t>Concluding Remarks</w:t>
      </w:r>
    </w:p>
    <w:p w:rsidR="009535E7" w:rsidRDefault="00253F0E">
      <w:pPr>
        <w:spacing w:after="0" w:line="480" w:lineRule="auto"/>
        <w:rPr>
          <w:rFonts w:ascii="Times New Roman" w:hAnsi="Times New Roman"/>
          <w:sz w:val="24"/>
          <w:szCs w:val="24"/>
        </w:rPr>
      </w:pPr>
      <w:r>
        <w:rPr>
          <w:rFonts w:ascii="Times New Roman" w:hAnsi="Times New Roman"/>
          <w:sz w:val="24"/>
          <w:szCs w:val="24"/>
        </w:rPr>
        <w:t xml:space="preserve">Using annual state-level data for the 20 year period 1990 – 2009, this paper examines cigarette demand with specific interest in the effects of tax changes on sales.  The contributions of this paper to the existing literature are two-fold.  First, </w:t>
      </w:r>
      <w:r w:rsidR="00293365">
        <w:rPr>
          <w:rFonts w:ascii="Times New Roman" w:hAnsi="Times New Roman"/>
          <w:sz w:val="24"/>
          <w:szCs w:val="24"/>
        </w:rPr>
        <w:t xml:space="preserve">we control for various forms of spatial dependence, which, if left unaddressed, can lead to biased and/or inconsistent estimates.  Furthermore, the SDM allows for the computation of directed (own) and indirect (spillover) effects, which can serve to further describe the nature of cigarette smuggling across state lines.  </w:t>
      </w:r>
      <w:r w:rsidR="00293365">
        <w:rPr>
          <w:rFonts w:ascii="Times New Roman" w:hAnsi="Times New Roman"/>
          <w:sz w:val="24"/>
          <w:szCs w:val="24"/>
        </w:rPr>
        <w:lastRenderedPageBreak/>
        <w:t xml:space="preserve">Second, </w:t>
      </w:r>
      <w:r>
        <w:rPr>
          <w:rFonts w:ascii="Times New Roman" w:hAnsi="Times New Roman"/>
          <w:sz w:val="24"/>
          <w:szCs w:val="24"/>
        </w:rPr>
        <w:t xml:space="preserve">we employ a new measure adopted from Hall, Lawson, and </w:t>
      </w:r>
      <w:proofErr w:type="spellStart"/>
      <w:r>
        <w:rPr>
          <w:rFonts w:ascii="Times New Roman" w:hAnsi="Times New Roman"/>
          <w:sz w:val="24"/>
          <w:szCs w:val="24"/>
        </w:rPr>
        <w:t>Skipton</w:t>
      </w:r>
      <w:proofErr w:type="spellEnd"/>
      <w:r>
        <w:rPr>
          <w:rFonts w:ascii="Times New Roman" w:hAnsi="Times New Roman"/>
          <w:sz w:val="24"/>
          <w:szCs w:val="24"/>
        </w:rPr>
        <w:t xml:space="preserve"> (2011) to measure the impact of tax dif</w:t>
      </w:r>
      <w:r w:rsidR="005D13A6">
        <w:rPr>
          <w:rFonts w:ascii="Times New Roman" w:hAnsi="Times New Roman"/>
          <w:sz w:val="24"/>
          <w:szCs w:val="24"/>
        </w:rPr>
        <w:t>ferentials.  While many researchers have</w:t>
      </w:r>
      <w:r>
        <w:rPr>
          <w:rFonts w:ascii="Times New Roman" w:hAnsi="Times New Roman"/>
          <w:sz w:val="24"/>
          <w:szCs w:val="24"/>
        </w:rPr>
        <w:t xml:space="preserve"> used the minimum or average tax (</w:t>
      </w:r>
      <w:r w:rsidR="005D13A6">
        <w:rPr>
          <w:rFonts w:ascii="Times New Roman" w:hAnsi="Times New Roman"/>
          <w:sz w:val="24"/>
          <w:szCs w:val="24"/>
        </w:rPr>
        <w:t xml:space="preserve">or </w:t>
      </w:r>
      <w:r>
        <w:rPr>
          <w:rFonts w:ascii="Times New Roman" w:hAnsi="Times New Roman"/>
          <w:sz w:val="24"/>
          <w:szCs w:val="24"/>
        </w:rPr>
        <w:t xml:space="preserve">price) of contiguous neighbors and/or the tax differential with North Carolina to control for smuggling, we compute a distance-scaled tax differential.  This variable serves as a “gravity-model” type variable in which the </w:t>
      </w:r>
      <w:r w:rsidR="00A81D8D">
        <w:rPr>
          <w:rFonts w:ascii="Times New Roman" w:hAnsi="Times New Roman"/>
          <w:sz w:val="24"/>
          <w:szCs w:val="24"/>
        </w:rPr>
        <w:t xml:space="preserve">paired </w:t>
      </w:r>
      <w:r>
        <w:rPr>
          <w:rFonts w:ascii="Times New Roman" w:hAnsi="Times New Roman"/>
          <w:sz w:val="24"/>
          <w:szCs w:val="24"/>
        </w:rPr>
        <w:t>benefits of purchasing in another location—the tax differential—</w:t>
      </w:r>
      <w:r w:rsidR="00A81D8D">
        <w:rPr>
          <w:rFonts w:ascii="Times New Roman" w:hAnsi="Times New Roman"/>
          <w:sz w:val="24"/>
          <w:szCs w:val="24"/>
        </w:rPr>
        <w:t>is</w:t>
      </w:r>
      <w:r>
        <w:rPr>
          <w:rFonts w:ascii="Times New Roman" w:hAnsi="Times New Roman"/>
          <w:sz w:val="24"/>
          <w:szCs w:val="24"/>
        </w:rPr>
        <w:t xml:space="preserve"> scaled by the distance-squ</w:t>
      </w:r>
      <w:r w:rsidR="00A81D8D">
        <w:rPr>
          <w:rFonts w:ascii="Times New Roman" w:hAnsi="Times New Roman"/>
          <w:sz w:val="24"/>
          <w:szCs w:val="24"/>
        </w:rPr>
        <w:t xml:space="preserve">ared.  The </w:t>
      </w:r>
      <w:proofErr w:type="spellStart"/>
      <w:r w:rsidR="00A81D8D" w:rsidRPr="00A81D8D">
        <w:rPr>
          <w:rFonts w:ascii="Times New Roman" w:hAnsi="Times New Roman"/>
          <w:i/>
          <w:sz w:val="24"/>
          <w:szCs w:val="24"/>
        </w:rPr>
        <w:t>ij</w:t>
      </w:r>
      <w:proofErr w:type="spellEnd"/>
      <w:r w:rsidR="00A81D8D">
        <w:rPr>
          <w:rFonts w:ascii="Times New Roman" w:hAnsi="Times New Roman"/>
          <w:sz w:val="24"/>
          <w:szCs w:val="24"/>
        </w:rPr>
        <w:t xml:space="preserve">-paired scaled tax-differentials are then summed for each </w:t>
      </w:r>
      <w:r w:rsidR="00A81D8D">
        <w:rPr>
          <w:rFonts w:ascii="Times New Roman" w:hAnsi="Times New Roman"/>
          <w:i/>
          <w:sz w:val="24"/>
          <w:szCs w:val="24"/>
        </w:rPr>
        <w:t>i</w:t>
      </w:r>
      <w:r w:rsidR="00A81D8D">
        <w:rPr>
          <w:rFonts w:ascii="Times New Roman" w:hAnsi="Times New Roman"/>
          <w:sz w:val="24"/>
          <w:szCs w:val="24"/>
        </w:rPr>
        <w:t>, creating a broad measure of tax-induced cigarette smuggling.</w:t>
      </w:r>
      <w:r w:rsidR="005D13A6">
        <w:rPr>
          <w:rFonts w:ascii="Times New Roman" w:hAnsi="Times New Roman"/>
          <w:sz w:val="24"/>
          <w:szCs w:val="24"/>
        </w:rPr>
        <w:t xml:space="preserve">  Our results are consistent with those of the existing literature and thus serve to add to the robustness of the finding.  Specifically, we estimate that a one standard deviation increase in the distance-scaled tax differential, which could occur through a reduction in the state’s cigarette tax rate, </w:t>
      </w:r>
      <w:r w:rsidR="00293365">
        <w:rPr>
          <w:rFonts w:ascii="Times New Roman" w:hAnsi="Times New Roman"/>
          <w:sz w:val="24"/>
          <w:szCs w:val="24"/>
        </w:rPr>
        <w:t>leads to an increase in the state’s annual per capita sales of between 4 and 10 packs.  The same increase in the scaled tax differential variable is also found to decrease per capita sales in other states by a combined 8 packs annually.  These results suggest a large degree of cross-border shopping/smuggling of cigarettes.</w:t>
      </w:r>
    </w:p>
    <w:p w:rsidR="009535E7" w:rsidRDefault="009535E7">
      <w:pPr>
        <w:spacing w:after="0" w:line="480" w:lineRule="auto"/>
        <w:rPr>
          <w:rFonts w:ascii="Times New Roman" w:hAnsi="Times New Roman"/>
          <w:sz w:val="24"/>
          <w:szCs w:val="24"/>
        </w:rPr>
      </w:pPr>
    </w:p>
    <w:p w:rsidR="009535E7" w:rsidRDefault="009535E7">
      <w:pPr>
        <w:spacing w:after="0" w:line="240" w:lineRule="auto"/>
        <w:rPr>
          <w:rFonts w:ascii="Times New Roman" w:hAnsi="Times New Roman"/>
          <w:sz w:val="24"/>
          <w:szCs w:val="24"/>
        </w:rPr>
      </w:pPr>
      <w:r>
        <w:rPr>
          <w:rFonts w:ascii="Times New Roman" w:hAnsi="Times New Roman"/>
          <w:b/>
          <w:sz w:val="32"/>
          <w:szCs w:val="24"/>
        </w:rPr>
        <w:br w:type="page"/>
      </w:r>
      <w:r>
        <w:rPr>
          <w:rFonts w:ascii="Times New Roman" w:hAnsi="Times New Roman"/>
          <w:b/>
          <w:sz w:val="32"/>
          <w:szCs w:val="24"/>
        </w:rPr>
        <w:lastRenderedPageBreak/>
        <w:t>References</w:t>
      </w:r>
    </w:p>
    <w:p w:rsidR="009535E7" w:rsidRDefault="009535E7">
      <w:pPr>
        <w:spacing w:after="0" w:line="480" w:lineRule="auto"/>
        <w:ind w:left="720" w:hanging="720"/>
        <w:rPr>
          <w:rFonts w:ascii="Times New Roman" w:hAnsi="Times New Roman"/>
          <w:sz w:val="24"/>
          <w:szCs w:val="24"/>
        </w:rPr>
      </w:pPr>
    </w:p>
    <w:p w:rsidR="009B0EE1" w:rsidRDefault="009B0EE1">
      <w:pPr>
        <w:spacing w:after="0" w:line="480" w:lineRule="auto"/>
        <w:ind w:left="720" w:hanging="720"/>
        <w:rPr>
          <w:rFonts w:ascii="Times New Roman" w:hAnsi="Times New Roman"/>
          <w:sz w:val="24"/>
          <w:szCs w:val="24"/>
        </w:rPr>
      </w:pPr>
      <w:proofErr w:type="spellStart"/>
      <w:r>
        <w:rPr>
          <w:rFonts w:ascii="Times New Roman" w:hAnsi="Times New Roman"/>
          <w:sz w:val="24"/>
          <w:szCs w:val="24"/>
        </w:rPr>
        <w:t>Baltagi</w:t>
      </w:r>
      <w:proofErr w:type="spellEnd"/>
      <w:r>
        <w:rPr>
          <w:rFonts w:ascii="Times New Roman" w:hAnsi="Times New Roman"/>
          <w:sz w:val="24"/>
          <w:szCs w:val="24"/>
        </w:rPr>
        <w:t xml:space="preserve">, BH. </w:t>
      </w:r>
      <w:proofErr w:type="gramStart"/>
      <w:r>
        <w:rPr>
          <w:rFonts w:ascii="Times New Roman" w:hAnsi="Times New Roman"/>
          <w:sz w:val="24"/>
          <w:szCs w:val="24"/>
        </w:rPr>
        <w:t>and</w:t>
      </w:r>
      <w:proofErr w:type="gramEnd"/>
      <w:r>
        <w:rPr>
          <w:rFonts w:ascii="Times New Roman" w:hAnsi="Times New Roman"/>
          <w:sz w:val="24"/>
          <w:szCs w:val="24"/>
        </w:rPr>
        <w:t xml:space="preserve"> D. Levin. (1986) Estimating dynamic demand for cigarettes using panel data: the effects of bootlegging, taxation and advertising reconsidered. </w:t>
      </w:r>
      <w:r w:rsidRPr="009B0EE1">
        <w:rPr>
          <w:rFonts w:ascii="Times New Roman" w:hAnsi="Times New Roman"/>
          <w:i/>
          <w:sz w:val="24"/>
          <w:szCs w:val="24"/>
        </w:rPr>
        <w:t>Review of Economics and Statistics</w:t>
      </w:r>
      <w:r>
        <w:rPr>
          <w:rFonts w:ascii="Times New Roman" w:hAnsi="Times New Roman"/>
          <w:sz w:val="24"/>
          <w:szCs w:val="24"/>
        </w:rPr>
        <w:t>, 68, 148-155.</w:t>
      </w:r>
    </w:p>
    <w:p w:rsidR="009B0EE1" w:rsidRDefault="009B0EE1">
      <w:pPr>
        <w:spacing w:after="0" w:line="480" w:lineRule="auto"/>
        <w:ind w:left="720" w:hanging="720"/>
        <w:rPr>
          <w:rFonts w:ascii="Times New Roman" w:hAnsi="Times New Roman"/>
          <w:sz w:val="24"/>
          <w:szCs w:val="24"/>
        </w:rPr>
      </w:pPr>
      <w:proofErr w:type="spellStart"/>
      <w:r>
        <w:rPr>
          <w:rFonts w:ascii="Times New Roman" w:hAnsi="Times New Roman"/>
          <w:sz w:val="24"/>
          <w:szCs w:val="24"/>
        </w:rPr>
        <w:t>Chaloupka</w:t>
      </w:r>
      <w:proofErr w:type="spellEnd"/>
      <w:r>
        <w:rPr>
          <w:rFonts w:ascii="Times New Roman" w:hAnsi="Times New Roman"/>
          <w:sz w:val="24"/>
          <w:szCs w:val="24"/>
        </w:rPr>
        <w:t xml:space="preserve">, F.J. (1991) </w:t>
      </w:r>
      <w:proofErr w:type="gramStart"/>
      <w:r>
        <w:rPr>
          <w:rFonts w:ascii="Times New Roman" w:hAnsi="Times New Roman"/>
          <w:sz w:val="24"/>
          <w:szCs w:val="24"/>
        </w:rPr>
        <w:t>Rational</w:t>
      </w:r>
      <w:proofErr w:type="gramEnd"/>
      <w:r>
        <w:rPr>
          <w:rFonts w:ascii="Times New Roman" w:hAnsi="Times New Roman"/>
          <w:sz w:val="24"/>
          <w:szCs w:val="24"/>
        </w:rPr>
        <w:t xml:space="preserve"> addictive behavior and cigarette smoking. </w:t>
      </w:r>
      <w:r>
        <w:rPr>
          <w:rFonts w:ascii="Times New Roman" w:hAnsi="Times New Roman"/>
          <w:i/>
          <w:sz w:val="24"/>
          <w:szCs w:val="24"/>
        </w:rPr>
        <w:t xml:space="preserve">Journal of Political Economy, </w:t>
      </w:r>
      <w:r>
        <w:rPr>
          <w:rFonts w:ascii="Times New Roman" w:hAnsi="Times New Roman"/>
          <w:sz w:val="24"/>
          <w:szCs w:val="24"/>
        </w:rPr>
        <w:t>99, 722-742.</w:t>
      </w:r>
    </w:p>
    <w:p w:rsidR="009B0EE1" w:rsidRPr="009B0EE1" w:rsidRDefault="009B0EE1">
      <w:pPr>
        <w:spacing w:after="0" w:line="480" w:lineRule="auto"/>
        <w:ind w:left="720" w:hanging="720"/>
        <w:rPr>
          <w:rFonts w:ascii="Times New Roman" w:hAnsi="Times New Roman"/>
          <w:sz w:val="24"/>
          <w:szCs w:val="24"/>
        </w:rPr>
      </w:pPr>
      <w:proofErr w:type="spellStart"/>
      <w:r>
        <w:rPr>
          <w:rFonts w:ascii="Times New Roman" w:hAnsi="Times New Roman"/>
          <w:sz w:val="24"/>
          <w:szCs w:val="24"/>
        </w:rPr>
        <w:t>Elhorst</w:t>
      </w:r>
      <w:proofErr w:type="spellEnd"/>
      <w:r>
        <w:rPr>
          <w:rFonts w:ascii="Times New Roman" w:hAnsi="Times New Roman"/>
          <w:sz w:val="24"/>
          <w:szCs w:val="24"/>
        </w:rPr>
        <w:t xml:space="preserve">, J. Paul. </w:t>
      </w:r>
      <w:proofErr w:type="gramStart"/>
      <w:r>
        <w:rPr>
          <w:rFonts w:ascii="Times New Roman" w:hAnsi="Times New Roman"/>
          <w:sz w:val="24"/>
          <w:szCs w:val="24"/>
        </w:rPr>
        <w:t>(2008). Serial and spatial error correlation.</w:t>
      </w:r>
      <w:proofErr w:type="gramEnd"/>
      <w:r>
        <w:rPr>
          <w:rFonts w:ascii="Times New Roman" w:hAnsi="Times New Roman"/>
          <w:sz w:val="24"/>
          <w:szCs w:val="24"/>
        </w:rPr>
        <w:t xml:space="preserve"> </w:t>
      </w:r>
      <w:r>
        <w:rPr>
          <w:rFonts w:ascii="Times New Roman" w:hAnsi="Times New Roman"/>
          <w:i/>
          <w:sz w:val="24"/>
          <w:szCs w:val="24"/>
        </w:rPr>
        <w:t xml:space="preserve">Economics Letters, </w:t>
      </w:r>
      <w:r w:rsidRPr="009B0EE1">
        <w:rPr>
          <w:rFonts w:ascii="Times New Roman" w:hAnsi="Times New Roman"/>
          <w:sz w:val="24"/>
          <w:szCs w:val="24"/>
        </w:rPr>
        <w:t>100, 422-424.</w:t>
      </w:r>
    </w:p>
    <w:p w:rsidR="009B0EE1" w:rsidRDefault="009B0EE1">
      <w:pPr>
        <w:spacing w:after="0" w:line="480" w:lineRule="auto"/>
        <w:ind w:left="720" w:hanging="720"/>
        <w:rPr>
          <w:rFonts w:ascii="Times New Roman" w:hAnsi="Times New Roman"/>
          <w:sz w:val="24"/>
          <w:szCs w:val="24"/>
        </w:rPr>
      </w:pPr>
      <w:r>
        <w:rPr>
          <w:rFonts w:ascii="Times New Roman" w:hAnsi="Times New Roman"/>
          <w:sz w:val="24"/>
          <w:szCs w:val="24"/>
        </w:rPr>
        <w:t xml:space="preserve">Galbraith, John, and Murray </w:t>
      </w:r>
      <w:proofErr w:type="spellStart"/>
      <w:r>
        <w:rPr>
          <w:rFonts w:ascii="Times New Roman" w:hAnsi="Times New Roman"/>
          <w:sz w:val="24"/>
          <w:szCs w:val="24"/>
        </w:rPr>
        <w:t>Kaiserman</w:t>
      </w:r>
      <w:proofErr w:type="spellEnd"/>
      <w:r>
        <w:rPr>
          <w:rFonts w:ascii="Times New Roman" w:hAnsi="Times New Roman"/>
          <w:sz w:val="24"/>
          <w:szCs w:val="24"/>
        </w:rPr>
        <w:t xml:space="preserve"> (1997) Taxation, smuggling and demand for cigarettes in Canada: Evidence from time-series data. </w:t>
      </w:r>
      <w:proofErr w:type="spellStart"/>
      <w:r>
        <w:rPr>
          <w:rFonts w:ascii="Times New Roman" w:hAnsi="Times New Roman"/>
          <w:i/>
          <w:sz w:val="24"/>
          <w:szCs w:val="24"/>
        </w:rPr>
        <w:t>Jounal</w:t>
      </w:r>
      <w:proofErr w:type="spellEnd"/>
      <w:r>
        <w:rPr>
          <w:rFonts w:ascii="Times New Roman" w:hAnsi="Times New Roman"/>
          <w:i/>
          <w:sz w:val="24"/>
          <w:szCs w:val="24"/>
        </w:rPr>
        <w:t xml:space="preserve"> of Health Economics, </w:t>
      </w:r>
      <w:r>
        <w:rPr>
          <w:rFonts w:ascii="Times New Roman" w:hAnsi="Times New Roman"/>
          <w:sz w:val="24"/>
          <w:szCs w:val="24"/>
        </w:rPr>
        <w:t>16, 287-301.</w:t>
      </w:r>
    </w:p>
    <w:p w:rsidR="009B0EE1" w:rsidRDefault="009B0EE1">
      <w:pPr>
        <w:spacing w:after="0" w:line="480" w:lineRule="auto"/>
        <w:ind w:left="720" w:hanging="720"/>
        <w:rPr>
          <w:rFonts w:ascii="Times New Roman" w:hAnsi="Times New Roman"/>
          <w:sz w:val="24"/>
          <w:szCs w:val="24"/>
        </w:rPr>
      </w:pPr>
      <w:proofErr w:type="spellStart"/>
      <w:proofErr w:type="gramStart"/>
      <w:r>
        <w:rPr>
          <w:rFonts w:ascii="Times New Roman" w:hAnsi="Times New Roman"/>
          <w:sz w:val="24"/>
          <w:szCs w:val="24"/>
        </w:rPr>
        <w:t>Goel</w:t>
      </w:r>
      <w:proofErr w:type="spellEnd"/>
      <w:r>
        <w:rPr>
          <w:rFonts w:ascii="Times New Roman" w:hAnsi="Times New Roman"/>
          <w:sz w:val="24"/>
          <w:szCs w:val="24"/>
        </w:rPr>
        <w:t>, Rajeev and Michael Nelson.</w:t>
      </w:r>
      <w:proofErr w:type="gramEnd"/>
      <w:r>
        <w:rPr>
          <w:rFonts w:ascii="Times New Roman" w:hAnsi="Times New Roman"/>
          <w:sz w:val="24"/>
          <w:szCs w:val="24"/>
        </w:rPr>
        <w:t xml:space="preserve">  (2011) Cigarette demand and effectiveness of U.S. smoking control policies: state-level evidence for more than half a century.  </w:t>
      </w:r>
      <w:proofErr w:type="gramStart"/>
      <w:r>
        <w:rPr>
          <w:rFonts w:ascii="Times New Roman" w:hAnsi="Times New Roman"/>
          <w:i/>
          <w:sz w:val="24"/>
          <w:szCs w:val="24"/>
        </w:rPr>
        <w:t xml:space="preserve">Empirical </w:t>
      </w:r>
      <w:r w:rsidRPr="009B0EE1">
        <w:rPr>
          <w:rFonts w:ascii="Times New Roman" w:hAnsi="Times New Roman"/>
          <w:i/>
          <w:sz w:val="24"/>
          <w:szCs w:val="24"/>
        </w:rPr>
        <w:t>Economics</w:t>
      </w:r>
      <w:r>
        <w:rPr>
          <w:rFonts w:ascii="Times New Roman" w:hAnsi="Times New Roman"/>
          <w:sz w:val="24"/>
          <w:szCs w:val="24"/>
        </w:rPr>
        <w:t>.</w:t>
      </w:r>
      <w:proofErr w:type="gramEnd"/>
      <w:r>
        <w:rPr>
          <w:rFonts w:ascii="Times New Roman" w:hAnsi="Times New Roman"/>
          <w:sz w:val="24"/>
          <w:szCs w:val="24"/>
        </w:rPr>
        <w:t xml:space="preserve"> </w:t>
      </w:r>
    </w:p>
    <w:p w:rsidR="009535E7" w:rsidRDefault="009535E7">
      <w:pPr>
        <w:spacing w:after="0" w:line="480" w:lineRule="auto"/>
        <w:ind w:left="720" w:hanging="720"/>
        <w:rPr>
          <w:rFonts w:ascii="Times New Roman" w:hAnsi="Times New Roman"/>
          <w:i/>
          <w:iCs/>
          <w:sz w:val="24"/>
          <w:szCs w:val="24"/>
        </w:rPr>
      </w:pPr>
      <w:proofErr w:type="gramStart"/>
      <w:r w:rsidRPr="009B0EE1">
        <w:rPr>
          <w:rFonts w:ascii="Times New Roman" w:hAnsi="Times New Roman"/>
          <w:sz w:val="24"/>
          <w:szCs w:val="24"/>
        </w:rPr>
        <w:t>Hall</w:t>
      </w:r>
      <w:r>
        <w:rPr>
          <w:rFonts w:ascii="Times New Roman" w:hAnsi="Times New Roman"/>
          <w:sz w:val="24"/>
          <w:szCs w:val="24"/>
        </w:rPr>
        <w:t>, Josh, and Justin Ross.</w:t>
      </w:r>
      <w:proofErr w:type="gramEnd"/>
      <w:r>
        <w:rPr>
          <w:rFonts w:ascii="Times New Roman" w:hAnsi="Times New Roman"/>
          <w:sz w:val="24"/>
          <w:szCs w:val="24"/>
        </w:rPr>
        <w:t xml:space="preserve"> (2010) </w:t>
      </w:r>
      <w:hyperlink r:id="rId13" w:tgtFrame="_blank" w:history="1">
        <w:proofErr w:type="spellStart"/>
        <w:r>
          <w:rPr>
            <w:rFonts w:ascii="Times New Roman" w:hAnsi="Times New Roman"/>
            <w:sz w:val="24"/>
            <w:szCs w:val="24"/>
          </w:rPr>
          <w:t>Tiebout</w:t>
        </w:r>
        <w:proofErr w:type="spellEnd"/>
        <w:r>
          <w:rPr>
            <w:rFonts w:ascii="Times New Roman" w:hAnsi="Times New Roman"/>
            <w:sz w:val="24"/>
            <w:szCs w:val="24"/>
          </w:rPr>
          <w:t xml:space="preserve"> competition, yardstick competition, and tax instrument choice: evidence from Ohio school districts</w:t>
        </w:r>
      </w:hyperlink>
      <w:r>
        <w:rPr>
          <w:rFonts w:ascii="Times New Roman" w:hAnsi="Times New Roman"/>
          <w:sz w:val="24"/>
          <w:szCs w:val="24"/>
        </w:rPr>
        <w:t xml:space="preserve">, </w:t>
      </w:r>
      <w:r>
        <w:rPr>
          <w:rFonts w:ascii="Times New Roman" w:hAnsi="Times New Roman"/>
          <w:i/>
          <w:iCs/>
          <w:sz w:val="24"/>
          <w:szCs w:val="24"/>
        </w:rPr>
        <w:t>Public Finance Review</w:t>
      </w:r>
      <w:r>
        <w:rPr>
          <w:rFonts w:ascii="Times New Roman" w:hAnsi="Times New Roman"/>
          <w:sz w:val="24"/>
          <w:szCs w:val="24"/>
        </w:rPr>
        <w:t xml:space="preserve">, </w:t>
      </w:r>
      <w:r>
        <w:rPr>
          <w:rFonts w:ascii="Times New Roman" w:hAnsi="Times New Roman"/>
          <w:iCs/>
          <w:sz w:val="24"/>
          <w:szCs w:val="24"/>
        </w:rPr>
        <w:t>38, 710-737.</w:t>
      </w:r>
    </w:p>
    <w:p w:rsidR="009B0EE1" w:rsidRDefault="009B0EE1">
      <w:pPr>
        <w:spacing w:after="0" w:line="480" w:lineRule="auto"/>
        <w:ind w:left="720" w:hanging="720"/>
        <w:rPr>
          <w:rFonts w:ascii="Times New Roman" w:eastAsia="Times New Roman" w:hAnsi="Times New Roman"/>
          <w:sz w:val="24"/>
          <w:szCs w:val="24"/>
        </w:rPr>
      </w:pPr>
      <w:proofErr w:type="gramStart"/>
      <w:r>
        <w:rPr>
          <w:rFonts w:ascii="Times New Roman" w:eastAsia="Times New Roman" w:hAnsi="Times New Roman"/>
          <w:sz w:val="24"/>
          <w:szCs w:val="24"/>
        </w:rPr>
        <w:t>Keeler, T, T.W. Hu, P.G. Barnett, and W.G. Manning.</w:t>
      </w:r>
      <w:proofErr w:type="gramEnd"/>
      <w:r>
        <w:rPr>
          <w:rFonts w:ascii="Times New Roman" w:eastAsia="Times New Roman" w:hAnsi="Times New Roman"/>
          <w:sz w:val="24"/>
          <w:szCs w:val="24"/>
        </w:rPr>
        <w:t xml:space="preserve"> (1993) Taxation, regulation and addiction: </w:t>
      </w:r>
      <w:proofErr w:type="gramStart"/>
      <w:r>
        <w:rPr>
          <w:rFonts w:ascii="Times New Roman" w:eastAsia="Times New Roman" w:hAnsi="Times New Roman"/>
          <w:sz w:val="24"/>
          <w:szCs w:val="24"/>
        </w:rPr>
        <w:t>A demand function</w:t>
      </w:r>
      <w:proofErr w:type="gramEnd"/>
      <w:r>
        <w:rPr>
          <w:rFonts w:ascii="Times New Roman" w:eastAsia="Times New Roman" w:hAnsi="Times New Roman"/>
          <w:sz w:val="24"/>
          <w:szCs w:val="24"/>
        </w:rPr>
        <w:t xml:space="preserve"> for cigarettes based on time series evidence. </w:t>
      </w:r>
      <w:r>
        <w:rPr>
          <w:rFonts w:ascii="Times New Roman" w:eastAsia="Times New Roman" w:hAnsi="Times New Roman"/>
          <w:i/>
          <w:sz w:val="24"/>
          <w:szCs w:val="24"/>
        </w:rPr>
        <w:t xml:space="preserve">Journal of Health Economics, </w:t>
      </w:r>
      <w:r>
        <w:rPr>
          <w:rFonts w:ascii="Times New Roman" w:eastAsia="Times New Roman" w:hAnsi="Times New Roman"/>
          <w:sz w:val="24"/>
          <w:szCs w:val="24"/>
        </w:rPr>
        <w:t>12, 1-18.</w:t>
      </w:r>
    </w:p>
    <w:p w:rsidR="009535E7" w:rsidRDefault="009535E7">
      <w:pPr>
        <w:spacing w:after="0" w:line="480" w:lineRule="auto"/>
        <w:ind w:left="720" w:hanging="720"/>
        <w:rPr>
          <w:rFonts w:ascii="Times New Roman" w:eastAsia="Times New Roman" w:hAnsi="Times New Roman"/>
          <w:sz w:val="24"/>
          <w:szCs w:val="24"/>
        </w:rPr>
      </w:pPr>
      <w:proofErr w:type="gramStart"/>
      <w:r>
        <w:rPr>
          <w:rFonts w:ascii="Times New Roman" w:eastAsia="Times New Roman" w:hAnsi="Times New Roman"/>
          <w:sz w:val="24"/>
          <w:szCs w:val="24"/>
        </w:rPr>
        <w:t>Lacombe, Donald, and Timothy Shaughnessy.</w:t>
      </w:r>
      <w:proofErr w:type="gramEnd"/>
      <w:r>
        <w:rPr>
          <w:rFonts w:ascii="Times New Roman" w:eastAsia="Times New Roman" w:hAnsi="Times New Roman"/>
          <w:sz w:val="24"/>
          <w:szCs w:val="24"/>
        </w:rPr>
        <w:t xml:space="preserve"> (2007) Accounting for spatial error correlation in the 2004 presidential popular vote. </w:t>
      </w:r>
      <w:r>
        <w:rPr>
          <w:rFonts w:ascii="Times New Roman" w:eastAsia="Times New Roman" w:hAnsi="Times New Roman"/>
          <w:i/>
          <w:iCs/>
          <w:sz w:val="24"/>
          <w:szCs w:val="24"/>
        </w:rPr>
        <w:t>Public Finance Review</w:t>
      </w:r>
      <w:r>
        <w:rPr>
          <w:rFonts w:ascii="Times New Roman" w:eastAsia="Times New Roman" w:hAnsi="Times New Roman"/>
          <w:sz w:val="24"/>
          <w:szCs w:val="24"/>
        </w:rPr>
        <w:t>, 35, 480-499.</w:t>
      </w:r>
    </w:p>
    <w:p w:rsidR="009535E7" w:rsidRDefault="009535E7">
      <w:pPr>
        <w:spacing w:after="0" w:line="480" w:lineRule="auto"/>
        <w:ind w:left="720" w:hanging="720"/>
        <w:rPr>
          <w:rFonts w:ascii="Times New Roman" w:hAnsi="Times New Roman"/>
          <w:sz w:val="24"/>
          <w:szCs w:val="24"/>
        </w:rPr>
      </w:pPr>
      <w:proofErr w:type="spellStart"/>
      <w:proofErr w:type="gramStart"/>
      <w:r>
        <w:rPr>
          <w:rFonts w:ascii="Times New Roman" w:hAnsi="Times New Roman"/>
          <w:sz w:val="24"/>
          <w:szCs w:val="24"/>
        </w:rPr>
        <w:t>LeSage</w:t>
      </w:r>
      <w:proofErr w:type="spellEnd"/>
      <w:r>
        <w:rPr>
          <w:rFonts w:ascii="Times New Roman" w:hAnsi="Times New Roman"/>
          <w:sz w:val="24"/>
          <w:szCs w:val="24"/>
        </w:rPr>
        <w:t>, James and Matthew Dominguez.</w:t>
      </w:r>
      <w:proofErr w:type="gramEnd"/>
      <w:r>
        <w:rPr>
          <w:rFonts w:ascii="Times New Roman" w:hAnsi="Times New Roman"/>
          <w:sz w:val="24"/>
          <w:szCs w:val="24"/>
        </w:rPr>
        <w:t xml:space="preserve"> </w:t>
      </w:r>
      <w:proofErr w:type="gramStart"/>
      <w:r>
        <w:rPr>
          <w:rFonts w:ascii="Times New Roman" w:hAnsi="Times New Roman"/>
          <w:sz w:val="24"/>
          <w:szCs w:val="24"/>
        </w:rPr>
        <w:t>(2010) The Importance of Modeling Spatial Spillovers in Public Choice Analysis.</w:t>
      </w:r>
      <w:proofErr w:type="gramEnd"/>
      <w:r>
        <w:rPr>
          <w:rFonts w:ascii="Times New Roman" w:hAnsi="Times New Roman"/>
          <w:sz w:val="24"/>
          <w:szCs w:val="24"/>
        </w:rPr>
        <w:t xml:space="preserve">  </w:t>
      </w:r>
      <w:proofErr w:type="gramStart"/>
      <w:r>
        <w:rPr>
          <w:rFonts w:ascii="Times New Roman" w:hAnsi="Times New Roman"/>
          <w:i/>
          <w:sz w:val="24"/>
          <w:szCs w:val="24"/>
        </w:rPr>
        <w:t>Public Choice</w:t>
      </w:r>
      <w:r>
        <w:rPr>
          <w:rFonts w:ascii="Times New Roman" w:hAnsi="Times New Roman"/>
          <w:sz w:val="24"/>
          <w:szCs w:val="24"/>
        </w:rPr>
        <w:t>.</w:t>
      </w:r>
      <w:proofErr w:type="gramEnd"/>
      <w:r>
        <w:rPr>
          <w:rFonts w:ascii="Times New Roman" w:hAnsi="Times New Roman"/>
          <w:sz w:val="24"/>
          <w:szCs w:val="24"/>
        </w:rPr>
        <w:t xml:space="preserve"> Forthcoming</w:t>
      </w:r>
    </w:p>
    <w:p w:rsidR="009535E7" w:rsidRDefault="009535E7">
      <w:pPr>
        <w:spacing w:after="0" w:line="480" w:lineRule="auto"/>
        <w:ind w:left="720" w:hanging="720"/>
        <w:rPr>
          <w:rFonts w:ascii="Times New Roman" w:hAnsi="Times New Roman"/>
          <w:sz w:val="24"/>
          <w:szCs w:val="24"/>
        </w:rPr>
      </w:pPr>
      <w:proofErr w:type="spellStart"/>
      <w:proofErr w:type="gramStart"/>
      <w:r>
        <w:rPr>
          <w:rFonts w:ascii="Times New Roman" w:hAnsi="Times New Roman"/>
          <w:sz w:val="24"/>
          <w:szCs w:val="24"/>
        </w:rPr>
        <w:t>LeSage</w:t>
      </w:r>
      <w:proofErr w:type="spellEnd"/>
      <w:r>
        <w:rPr>
          <w:rFonts w:ascii="Times New Roman" w:hAnsi="Times New Roman"/>
          <w:sz w:val="24"/>
          <w:szCs w:val="24"/>
        </w:rPr>
        <w:t>, James and R. Kelly Pace.</w:t>
      </w:r>
      <w:proofErr w:type="gramEnd"/>
      <w:r>
        <w:rPr>
          <w:rFonts w:ascii="Times New Roman" w:hAnsi="Times New Roman"/>
          <w:sz w:val="24"/>
          <w:szCs w:val="24"/>
        </w:rPr>
        <w:t xml:space="preserve"> </w:t>
      </w:r>
      <w:proofErr w:type="gramStart"/>
      <w:r>
        <w:rPr>
          <w:rFonts w:ascii="Times New Roman" w:hAnsi="Times New Roman"/>
          <w:sz w:val="24"/>
          <w:szCs w:val="24"/>
        </w:rPr>
        <w:t xml:space="preserve">(2009). </w:t>
      </w:r>
      <w:r>
        <w:rPr>
          <w:rFonts w:ascii="Times New Roman" w:hAnsi="Times New Roman"/>
          <w:i/>
          <w:sz w:val="24"/>
          <w:szCs w:val="24"/>
        </w:rPr>
        <w:t>Introduction to spatial econometrics</w:t>
      </w:r>
      <w:r>
        <w:rPr>
          <w:rFonts w:ascii="Times New Roman" w:hAnsi="Times New Roman"/>
          <w:sz w:val="24"/>
          <w:szCs w:val="24"/>
        </w:rPr>
        <w:t>.</w:t>
      </w:r>
      <w:proofErr w:type="gramEnd"/>
      <w:r>
        <w:rPr>
          <w:rFonts w:ascii="Times New Roman" w:hAnsi="Times New Roman"/>
          <w:sz w:val="24"/>
          <w:szCs w:val="24"/>
        </w:rPr>
        <w:t xml:space="preserve"> Boca Raton: CRC Press/Taylor and Francis Group.</w:t>
      </w:r>
    </w:p>
    <w:p w:rsidR="004C5202" w:rsidRDefault="004C5202">
      <w:pPr>
        <w:spacing w:after="0" w:line="480" w:lineRule="auto"/>
        <w:ind w:left="720" w:hanging="720"/>
        <w:rPr>
          <w:rFonts w:ascii="Times New Roman" w:hAnsi="Times New Roman"/>
          <w:sz w:val="24"/>
          <w:szCs w:val="24"/>
        </w:rPr>
      </w:pPr>
      <w:proofErr w:type="spellStart"/>
      <w:r>
        <w:rPr>
          <w:rFonts w:ascii="Times New Roman" w:hAnsi="Times New Roman"/>
          <w:sz w:val="24"/>
          <w:szCs w:val="24"/>
        </w:rPr>
        <w:lastRenderedPageBreak/>
        <w:t>Lovenheim</w:t>
      </w:r>
      <w:proofErr w:type="spellEnd"/>
      <w:r>
        <w:rPr>
          <w:rFonts w:ascii="Times New Roman" w:hAnsi="Times New Roman"/>
          <w:sz w:val="24"/>
          <w:szCs w:val="24"/>
        </w:rPr>
        <w:t>, Michael (2007) How far to the border</w:t>
      </w:r>
      <w:proofErr w:type="gramStart"/>
      <w:r>
        <w:rPr>
          <w:rFonts w:ascii="Times New Roman" w:hAnsi="Times New Roman"/>
          <w:sz w:val="24"/>
          <w:szCs w:val="24"/>
        </w:rPr>
        <w:t>?:</w:t>
      </w:r>
      <w:proofErr w:type="gramEnd"/>
      <w:r>
        <w:rPr>
          <w:rFonts w:ascii="Times New Roman" w:hAnsi="Times New Roman"/>
          <w:sz w:val="24"/>
          <w:szCs w:val="24"/>
        </w:rPr>
        <w:t xml:space="preserve"> The extent and impact of cross-border casual cigarette smuggling. </w:t>
      </w:r>
      <w:proofErr w:type="gramStart"/>
      <w:r>
        <w:rPr>
          <w:rFonts w:ascii="Times New Roman" w:hAnsi="Times New Roman"/>
          <w:sz w:val="24"/>
          <w:szCs w:val="24"/>
        </w:rPr>
        <w:t>Stanford Institute for Economic Policy Research, SIEPR Discussion Paper No. 06-40.</w:t>
      </w:r>
      <w:proofErr w:type="gramEnd"/>
    </w:p>
    <w:p w:rsidR="004C5202" w:rsidRPr="004C5202" w:rsidRDefault="004C5202">
      <w:pPr>
        <w:spacing w:after="0" w:line="480" w:lineRule="auto"/>
        <w:ind w:left="720" w:hanging="720"/>
        <w:rPr>
          <w:rFonts w:ascii="Times New Roman" w:hAnsi="Times New Roman"/>
          <w:sz w:val="24"/>
          <w:szCs w:val="24"/>
        </w:rPr>
      </w:pPr>
      <w:proofErr w:type="spellStart"/>
      <w:r>
        <w:rPr>
          <w:rFonts w:ascii="Times New Roman" w:hAnsi="Times New Roman"/>
          <w:sz w:val="24"/>
          <w:szCs w:val="24"/>
        </w:rPr>
        <w:t>Thursby</w:t>
      </w:r>
      <w:proofErr w:type="spellEnd"/>
      <w:r>
        <w:rPr>
          <w:rFonts w:ascii="Times New Roman" w:hAnsi="Times New Roman"/>
          <w:sz w:val="24"/>
          <w:szCs w:val="24"/>
        </w:rPr>
        <w:t xml:space="preserve">, Jerry and Marie </w:t>
      </w:r>
      <w:proofErr w:type="spellStart"/>
      <w:r>
        <w:rPr>
          <w:rFonts w:ascii="Times New Roman" w:hAnsi="Times New Roman"/>
          <w:sz w:val="24"/>
          <w:szCs w:val="24"/>
        </w:rPr>
        <w:t>Thursby</w:t>
      </w:r>
      <w:proofErr w:type="spellEnd"/>
      <w:r>
        <w:rPr>
          <w:rFonts w:ascii="Times New Roman" w:hAnsi="Times New Roman"/>
          <w:sz w:val="24"/>
          <w:szCs w:val="24"/>
        </w:rPr>
        <w:t xml:space="preserve"> (2000) Interstate cigarette bootlegging: extent, revenue losses, and effects of federal intervention. </w:t>
      </w:r>
      <w:r>
        <w:rPr>
          <w:rFonts w:ascii="Times New Roman" w:hAnsi="Times New Roman"/>
          <w:i/>
          <w:sz w:val="24"/>
          <w:szCs w:val="24"/>
        </w:rPr>
        <w:t xml:space="preserve">National Tax Journal, </w:t>
      </w:r>
      <w:r>
        <w:rPr>
          <w:rFonts w:ascii="Times New Roman" w:hAnsi="Times New Roman"/>
          <w:sz w:val="24"/>
          <w:szCs w:val="24"/>
        </w:rPr>
        <w:t>53, 59-77.</w:t>
      </w:r>
    </w:p>
    <w:p w:rsidR="009535E7" w:rsidRDefault="009535E7">
      <w:pPr>
        <w:spacing w:after="0" w:line="480" w:lineRule="auto"/>
        <w:rPr>
          <w:rFonts w:ascii="Times New Roman" w:hAnsi="Times New Roman"/>
          <w:sz w:val="24"/>
          <w:szCs w:val="24"/>
        </w:rPr>
      </w:pPr>
    </w:p>
    <w:p w:rsidR="009535E7" w:rsidRDefault="009535E7">
      <w:pPr>
        <w:spacing w:after="0" w:line="480" w:lineRule="auto"/>
        <w:rPr>
          <w:rFonts w:ascii="Times New Roman" w:hAnsi="Times New Roman"/>
          <w:sz w:val="24"/>
          <w:szCs w:val="24"/>
        </w:rPr>
      </w:pPr>
    </w:p>
    <w:p w:rsidR="009535E7" w:rsidRDefault="009535E7">
      <w:pPr>
        <w:spacing w:after="0" w:line="480" w:lineRule="auto"/>
        <w:rPr>
          <w:rFonts w:ascii="Times New Roman" w:hAnsi="Times New Roman"/>
          <w:sz w:val="24"/>
          <w:szCs w:val="24"/>
        </w:rPr>
      </w:pPr>
    </w:p>
    <w:p w:rsidR="009535E7" w:rsidRDefault="009535E7">
      <w:pPr>
        <w:spacing w:after="0" w:line="480" w:lineRule="auto"/>
        <w:rPr>
          <w:rFonts w:ascii="Times New Roman" w:hAnsi="Times New Roman"/>
          <w:sz w:val="24"/>
          <w:szCs w:val="24"/>
        </w:rPr>
      </w:pPr>
    </w:p>
    <w:p w:rsidR="00984846" w:rsidRDefault="00984846">
      <w:pPr>
        <w:spacing w:after="0" w:line="240" w:lineRule="auto"/>
        <w:rPr>
          <w:rFonts w:ascii="Times New Roman" w:hAnsi="Times New Roman"/>
          <w:sz w:val="24"/>
          <w:szCs w:val="24"/>
        </w:rPr>
      </w:pPr>
      <w:r>
        <w:rPr>
          <w:rFonts w:ascii="Times New Roman" w:hAnsi="Times New Roman"/>
          <w:sz w:val="24"/>
          <w:szCs w:val="24"/>
        </w:rPr>
        <w:br w:type="page"/>
      </w:r>
    </w:p>
    <w:p w:rsidR="00984846" w:rsidRDefault="00984846">
      <w:pPr>
        <w:spacing w:after="0" w:line="480" w:lineRule="auto"/>
        <w:rPr>
          <w:rFonts w:ascii="Times New Roman" w:hAnsi="Times New Roman"/>
          <w:sz w:val="24"/>
          <w:szCs w:val="24"/>
        </w:rPr>
      </w:pPr>
      <w:r>
        <w:rPr>
          <w:rFonts w:ascii="Times New Roman" w:hAnsi="Times New Roman"/>
          <w:sz w:val="24"/>
          <w:szCs w:val="24"/>
        </w:rPr>
        <w:lastRenderedPageBreak/>
        <w:t>Figure 1: Average State Cigarette Excise Taxes (year 20</w:t>
      </w:r>
      <w:r w:rsidR="00BA011F">
        <w:rPr>
          <w:rFonts w:ascii="Times New Roman" w:hAnsi="Times New Roman"/>
          <w:sz w:val="24"/>
          <w:szCs w:val="24"/>
        </w:rPr>
        <w:t>09</w:t>
      </w:r>
      <w:r>
        <w:rPr>
          <w:rFonts w:ascii="Times New Roman" w:hAnsi="Times New Roman"/>
          <w:sz w:val="24"/>
          <w:szCs w:val="24"/>
        </w:rPr>
        <w:t xml:space="preserve"> dollars), 1990 – 20</w:t>
      </w:r>
      <w:r w:rsidR="00BA011F">
        <w:rPr>
          <w:rFonts w:ascii="Times New Roman" w:hAnsi="Times New Roman"/>
          <w:sz w:val="24"/>
          <w:szCs w:val="24"/>
        </w:rPr>
        <w:t>09</w:t>
      </w:r>
    </w:p>
    <w:p w:rsidR="009535E7" w:rsidRDefault="00984846" w:rsidP="00832E99">
      <w:pPr>
        <w:spacing w:after="0" w:line="480" w:lineRule="auto"/>
        <w:rPr>
          <w:rFonts w:ascii="Times New Roman" w:hAnsi="Times New Roman"/>
          <w:sz w:val="24"/>
          <w:szCs w:val="24"/>
        </w:rPr>
      </w:pPr>
      <w:r w:rsidRPr="00984846">
        <w:rPr>
          <w:rFonts w:ascii="Times New Roman" w:hAnsi="Times New Roman"/>
          <w:noProof/>
          <w:sz w:val="24"/>
          <w:szCs w:val="24"/>
        </w:rPr>
        <w:drawing>
          <wp:inline distT="0" distB="0" distL="0" distR="0" wp14:anchorId="1A6B2892" wp14:editId="1C0016D3">
            <wp:extent cx="5943600" cy="3292475"/>
            <wp:effectExtent l="0" t="0" r="0" b="317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92475"/>
                    </a:xfrm>
                    <a:prstGeom prst="rect">
                      <a:avLst/>
                    </a:prstGeom>
                    <a:noFill/>
                    <a:ln>
                      <a:noFill/>
                    </a:ln>
                    <a:effectLst/>
                    <a:extLst/>
                  </pic:spPr>
                </pic:pic>
              </a:graphicData>
            </a:graphic>
          </wp:inline>
        </w:drawing>
      </w:r>
      <w:r w:rsidRPr="00984846">
        <w:rPr>
          <w:rFonts w:ascii="Times New Roman" w:hAnsi="Times New Roman"/>
          <w:sz w:val="24"/>
          <w:szCs w:val="24"/>
        </w:rPr>
        <w:t xml:space="preserve"> </w:t>
      </w:r>
      <w:r w:rsidR="009535E7">
        <w:rPr>
          <w:rFonts w:ascii="Times New Roman" w:hAnsi="Times New Roman"/>
          <w:sz w:val="24"/>
          <w:szCs w:val="24"/>
        </w:rPr>
        <w:br w:type="page"/>
      </w:r>
    </w:p>
    <w:p w:rsidR="002D08D6" w:rsidRDefault="00832E99" w:rsidP="002D08D6">
      <w:pPr>
        <w:spacing w:after="0" w:line="240" w:lineRule="auto"/>
        <w:rPr>
          <w:rFonts w:ascii="Times New Roman" w:hAnsi="Times New Roman"/>
          <w:sz w:val="24"/>
          <w:szCs w:val="24"/>
        </w:rPr>
      </w:pPr>
      <w:r w:rsidRPr="00832E99">
        <w:rPr>
          <w:noProof/>
        </w:rPr>
        <w:lastRenderedPageBreak/>
        <w:drawing>
          <wp:inline distT="0" distB="0" distL="0" distR="0" wp14:anchorId="6500CA96" wp14:editId="6A68C278">
            <wp:extent cx="447738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77385" cy="8229600"/>
                    </a:xfrm>
                    <a:prstGeom prst="rect">
                      <a:avLst/>
                    </a:prstGeom>
                  </pic:spPr>
                </pic:pic>
              </a:graphicData>
            </a:graphic>
          </wp:inline>
        </w:drawing>
      </w:r>
      <w:r w:rsidR="009535E7">
        <w:rPr>
          <w:rFonts w:ascii="Times New Roman" w:hAnsi="Times New Roman"/>
          <w:sz w:val="24"/>
          <w:szCs w:val="24"/>
        </w:rPr>
        <w:br w:type="page"/>
      </w:r>
      <w:r w:rsidR="002D08D6" w:rsidRPr="002D08D6">
        <w:rPr>
          <w:noProof/>
        </w:rPr>
        <w:lastRenderedPageBreak/>
        <w:drawing>
          <wp:inline distT="0" distB="0" distL="0" distR="0" wp14:anchorId="4FF95799" wp14:editId="2BA278E7">
            <wp:extent cx="3914286" cy="2923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14286" cy="2923810"/>
                    </a:xfrm>
                    <a:prstGeom prst="rect">
                      <a:avLst/>
                    </a:prstGeom>
                  </pic:spPr>
                </pic:pic>
              </a:graphicData>
            </a:graphic>
          </wp:inline>
        </w:drawing>
      </w:r>
    </w:p>
    <w:p w:rsidR="002D08D6" w:rsidRDefault="002D08D6" w:rsidP="002D08D6">
      <w:pPr>
        <w:spacing w:after="0" w:line="240" w:lineRule="auto"/>
        <w:rPr>
          <w:rFonts w:ascii="Times New Roman" w:hAnsi="Times New Roman"/>
          <w:sz w:val="24"/>
          <w:szCs w:val="24"/>
        </w:rPr>
      </w:pPr>
    </w:p>
    <w:p w:rsidR="002D08D6" w:rsidRDefault="002D08D6" w:rsidP="002D08D6">
      <w:pPr>
        <w:spacing w:after="0" w:line="240" w:lineRule="auto"/>
        <w:rPr>
          <w:rFonts w:ascii="Times New Roman" w:hAnsi="Times New Roman"/>
          <w:sz w:val="24"/>
          <w:szCs w:val="24"/>
        </w:rPr>
      </w:pPr>
    </w:p>
    <w:p w:rsidR="001269E3" w:rsidRDefault="001269E3">
      <w:pPr>
        <w:spacing w:after="0" w:line="240" w:lineRule="auto"/>
        <w:rPr>
          <w:rFonts w:ascii="Times New Roman" w:hAnsi="Times New Roman"/>
          <w:sz w:val="24"/>
          <w:szCs w:val="24"/>
        </w:rPr>
      </w:pPr>
      <w:r>
        <w:rPr>
          <w:rFonts w:ascii="Times New Roman" w:hAnsi="Times New Roman"/>
          <w:sz w:val="24"/>
          <w:szCs w:val="24"/>
        </w:rPr>
        <w:br w:type="page"/>
      </w:r>
    </w:p>
    <w:p w:rsidR="002D08D6" w:rsidRDefault="001269E3" w:rsidP="002D08D6">
      <w:pPr>
        <w:spacing w:after="0" w:line="240" w:lineRule="auto"/>
        <w:rPr>
          <w:rFonts w:ascii="Times New Roman" w:hAnsi="Times New Roman"/>
          <w:sz w:val="24"/>
          <w:szCs w:val="24"/>
        </w:rPr>
      </w:pPr>
      <w:r w:rsidRPr="001269E3">
        <w:lastRenderedPageBreak/>
        <w:drawing>
          <wp:inline distT="0" distB="0" distL="0" distR="0" wp14:anchorId="1FC344FE" wp14:editId="213A94AC">
            <wp:extent cx="5028572" cy="5371429"/>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28572" cy="5371429"/>
                    </a:xfrm>
                    <a:prstGeom prst="rect">
                      <a:avLst/>
                    </a:prstGeom>
                  </pic:spPr>
                </pic:pic>
              </a:graphicData>
            </a:graphic>
          </wp:inline>
        </w:drawing>
      </w:r>
    </w:p>
    <w:p w:rsidR="002D08D6" w:rsidRDefault="002D08D6" w:rsidP="002D08D6">
      <w:pPr>
        <w:spacing w:after="0" w:line="240" w:lineRule="auto"/>
        <w:rPr>
          <w:rFonts w:ascii="Times New Roman" w:hAnsi="Times New Roman"/>
          <w:sz w:val="24"/>
          <w:szCs w:val="24"/>
        </w:rPr>
      </w:pPr>
    </w:p>
    <w:p w:rsidR="001269E3" w:rsidRDefault="001269E3">
      <w:pPr>
        <w:spacing w:after="0" w:line="240" w:lineRule="auto"/>
        <w:rPr>
          <w:rFonts w:ascii="Times New Roman" w:hAnsi="Times New Roman"/>
          <w:sz w:val="24"/>
          <w:szCs w:val="24"/>
        </w:rPr>
      </w:pPr>
      <w:r>
        <w:rPr>
          <w:rFonts w:ascii="Times New Roman" w:hAnsi="Times New Roman"/>
          <w:sz w:val="24"/>
          <w:szCs w:val="24"/>
        </w:rPr>
        <w:br w:type="page"/>
      </w:r>
    </w:p>
    <w:p w:rsidR="002D08D6" w:rsidRDefault="001269E3" w:rsidP="002D08D6">
      <w:pPr>
        <w:spacing w:after="0" w:line="240" w:lineRule="auto"/>
        <w:rPr>
          <w:rFonts w:ascii="Times New Roman" w:hAnsi="Times New Roman"/>
          <w:sz w:val="24"/>
          <w:szCs w:val="24"/>
        </w:rPr>
      </w:pPr>
      <w:r w:rsidRPr="001269E3">
        <w:lastRenderedPageBreak/>
        <w:drawing>
          <wp:inline distT="0" distB="0" distL="0" distR="0" wp14:anchorId="253B4532" wp14:editId="6DDA4D47">
            <wp:extent cx="5295238" cy="5457143"/>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95238" cy="5457143"/>
                    </a:xfrm>
                    <a:prstGeom prst="rect">
                      <a:avLst/>
                    </a:prstGeom>
                  </pic:spPr>
                </pic:pic>
              </a:graphicData>
            </a:graphic>
          </wp:inline>
        </w:drawing>
      </w:r>
    </w:p>
    <w:p w:rsidR="002D08D6" w:rsidRDefault="002D08D6" w:rsidP="002D08D6">
      <w:pPr>
        <w:spacing w:after="0" w:line="240" w:lineRule="auto"/>
        <w:rPr>
          <w:rFonts w:ascii="Times New Roman" w:hAnsi="Times New Roman"/>
          <w:sz w:val="24"/>
          <w:szCs w:val="24"/>
        </w:rPr>
      </w:pPr>
    </w:p>
    <w:p w:rsidR="001269E3" w:rsidRDefault="001269E3" w:rsidP="002D08D6">
      <w:pPr>
        <w:spacing w:after="0" w:line="240" w:lineRule="auto"/>
        <w:rPr>
          <w:rFonts w:ascii="Times New Roman" w:hAnsi="Times New Roman"/>
          <w:sz w:val="24"/>
          <w:szCs w:val="24"/>
        </w:rPr>
      </w:pPr>
    </w:p>
    <w:p w:rsidR="001269E3" w:rsidRDefault="001269E3" w:rsidP="002D08D6">
      <w:pPr>
        <w:spacing w:after="0" w:line="240" w:lineRule="auto"/>
        <w:rPr>
          <w:rFonts w:ascii="Times New Roman" w:hAnsi="Times New Roman"/>
          <w:sz w:val="24"/>
          <w:szCs w:val="24"/>
        </w:rPr>
      </w:pPr>
    </w:p>
    <w:p w:rsidR="001269E3" w:rsidRDefault="001269E3" w:rsidP="002D08D6">
      <w:pPr>
        <w:spacing w:after="0" w:line="240" w:lineRule="auto"/>
        <w:rPr>
          <w:rFonts w:ascii="Times New Roman" w:hAnsi="Times New Roman"/>
          <w:sz w:val="24"/>
          <w:szCs w:val="24"/>
        </w:rPr>
      </w:pPr>
    </w:p>
    <w:p w:rsidR="001269E3" w:rsidRDefault="001269E3" w:rsidP="002D08D6">
      <w:pPr>
        <w:spacing w:after="0" w:line="240" w:lineRule="auto"/>
        <w:rPr>
          <w:rFonts w:ascii="Times New Roman" w:hAnsi="Times New Roman"/>
          <w:sz w:val="24"/>
          <w:szCs w:val="24"/>
        </w:rPr>
      </w:pPr>
    </w:p>
    <w:p w:rsidR="001269E3" w:rsidRDefault="001269E3" w:rsidP="002D08D6">
      <w:pPr>
        <w:spacing w:after="0" w:line="240" w:lineRule="auto"/>
        <w:rPr>
          <w:rFonts w:ascii="Times New Roman" w:hAnsi="Times New Roman"/>
          <w:sz w:val="24"/>
          <w:szCs w:val="24"/>
        </w:rPr>
      </w:pPr>
    </w:p>
    <w:p w:rsidR="001269E3" w:rsidRDefault="001269E3" w:rsidP="002D08D6">
      <w:pPr>
        <w:spacing w:after="0" w:line="240" w:lineRule="auto"/>
        <w:rPr>
          <w:rFonts w:ascii="Times New Roman" w:hAnsi="Times New Roman"/>
          <w:sz w:val="24"/>
          <w:szCs w:val="24"/>
        </w:rPr>
      </w:pPr>
    </w:p>
    <w:p w:rsidR="001269E3" w:rsidRDefault="001269E3" w:rsidP="002D08D6">
      <w:pPr>
        <w:spacing w:after="0" w:line="240" w:lineRule="auto"/>
        <w:rPr>
          <w:rFonts w:ascii="Times New Roman" w:hAnsi="Times New Roman"/>
          <w:sz w:val="24"/>
          <w:szCs w:val="24"/>
        </w:rPr>
      </w:pPr>
    </w:p>
    <w:p w:rsidR="001269E3" w:rsidRDefault="001269E3" w:rsidP="002D08D6">
      <w:pPr>
        <w:spacing w:after="0" w:line="240" w:lineRule="auto"/>
        <w:rPr>
          <w:rFonts w:ascii="Times New Roman" w:hAnsi="Times New Roman"/>
          <w:sz w:val="24"/>
          <w:szCs w:val="24"/>
        </w:rPr>
      </w:pPr>
    </w:p>
    <w:p w:rsidR="009535E7" w:rsidRDefault="009535E7" w:rsidP="002D08D6">
      <w:pPr>
        <w:spacing w:after="0" w:line="240" w:lineRule="auto"/>
        <w:rPr>
          <w:rFonts w:ascii="Times New Roman" w:hAnsi="Times New Roman"/>
          <w:sz w:val="24"/>
          <w:szCs w:val="24"/>
        </w:rPr>
      </w:pPr>
      <w:bookmarkStart w:id="2" w:name="_GoBack"/>
      <w:bookmarkEnd w:id="2"/>
      <w:r>
        <w:rPr>
          <w:rFonts w:ascii="Times New Roman" w:hAnsi="Times New Roman"/>
          <w:sz w:val="24"/>
          <w:szCs w:val="24"/>
        </w:rPr>
        <w:t>Notes</w:t>
      </w:r>
    </w:p>
    <w:sectPr w:rsidR="009535E7">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D0" w:rsidRDefault="00D250D0">
      <w:pPr>
        <w:spacing w:after="0" w:line="240" w:lineRule="auto"/>
      </w:pPr>
      <w:r>
        <w:separator/>
      </w:r>
    </w:p>
  </w:endnote>
  <w:endnote w:type="continuationSeparator" w:id="0">
    <w:p w:rsidR="00D250D0" w:rsidRDefault="00D250D0">
      <w:pPr>
        <w:spacing w:after="0" w:line="240" w:lineRule="auto"/>
      </w:pPr>
      <w:r>
        <w:continuationSeparator/>
      </w:r>
    </w:p>
  </w:endnote>
  <w:endnote w:id="1">
    <w:p w:rsidR="00AE648A" w:rsidRDefault="00AE648A">
      <w:pPr>
        <w:pStyle w:val="EndnoteText"/>
      </w:pPr>
      <w:r>
        <w:rPr>
          <w:rStyle w:val="EndnoteReference"/>
        </w:rPr>
        <w:endnoteRef/>
      </w:r>
      <w:r>
        <w:t xml:space="preserve"> Galbraith and </w:t>
      </w:r>
      <w:proofErr w:type="spellStart"/>
      <w:r>
        <w:t>Kaiserman</w:t>
      </w:r>
      <w:proofErr w:type="spellEnd"/>
      <w:r>
        <w:t xml:space="preserve"> (1997) estimate that Canadian consumption of contraband cigarettes, which they model as having been purchased in the U.S. and transported back into the country, is predictably responsive to the changes in legal prices.</w:t>
      </w:r>
    </w:p>
  </w:endnote>
  <w:endnote w:id="2">
    <w:p w:rsidR="00AE648A" w:rsidRDefault="00AE648A">
      <w:pPr>
        <w:pStyle w:val="EndnoteText"/>
      </w:pPr>
      <w:r>
        <w:rPr>
          <w:rStyle w:val="EndnoteReference"/>
        </w:rPr>
        <w:endnoteRef/>
      </w:r>
      <w:r>
        <w:t xml:space="preserve"> We also computed this scaled tax differential using distance rather than distance-squared; the results are generally consistent with those presented here and are available from the authors upon request.</w:t>
      </w:r>
    </w:p>
  </w:endnote>
  <w:endnote w:id="3">
    <w:p w:rsidR="00AE648A" w:rsidRDefault="00AE648A">
      <w:pPr>
        <w:pStyle w:val="EndnoteText"/>
      </w:pPr>
      <w:r>
        <w:rPr>
          <w:rStyle w:val="EndnoteReference"/>
        </w:rPr>
        <w:endnoteRef/>
      </w:r>
      <w:r>
        <w:t xml:space="preserve"> This argument is further emphasized in </w:t>
      </w:r>
      <w:proofErr w:type="spellStart"/>
      <w:r>
        <w:t>LeSage</w:t>
      </w:r>
      <w:proofErr w:type="spellEnd"/>
      <w:r>
        <w:t xml:space="preserve"> and Dominguez (2010).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8A" w:rsidRDefault="00AE64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648A" w:rsidRDefault="00AE6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8A" w:rsidRDefault="00AE648A">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269E3">
      <w:rPr>
        <w:rStyle w:val="PageNumber"/>
        <w:rFonts w:ascii="Times New Roman" w:hAnsi="Times New Roman"/>
        <w:noProof/>
      </w:rPr>
      <w:t>1</w:t>
    </w:r>
    <w:r>
      <w:rPr>
        <w:rStyle w:val="PageNumber"/>
        <w:rFonts w:ascii="Times New Roman" w:hAnsi="Times New Roman"/>
      </w:rPr>
      <w:fldChar w:fldCharType="end"/>
    </w:r>
  </w:p>
  <w:p w:rsidR="00AE648A" w:rsidRDefault="00AE64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8A" w:rsidRDefault="00AE64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D0" w:rsidRDefault="00D250D0">
      <w:pPr>
        <w:spacing w:after="0" w:line="240" w:lineRule="auto"/>
      </w:pPr>
      <w:r>
        <w:separator/>
      </w:r>
    </w:p>
  </w:footnote>
  <w:footnote w:type="continuationSeparator" w:id="0">
    <w:p w:rsidR="00D250D0" w:rsidRDefault="00D25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82"/>
    <w:rsid w:val="00040D3C"/>
    <w:rsid w:val="00061521"/>
    <w:rsid w:val="00063BF4"/>
    <w:rsid w:val="000A1372"/>
    <w:rsid w:val="000A218B"/>
    <w:rsid w:val="000B7A2B"/>
    <w:rsid w:val="00100896"/>
    <w:rsid w:val="001269E3"/>
    <w:rsid w:val="00162AD2"/>
    <w:rsid w:val="00163322"/>
    <w:rsid w:val="001763CC"/>
    <w:rsid w:val="00190B64"/>
    <w:rsid w:val="0020111A"/>
    <w:rsid w:val="00253F0E"/>
    <w:rsid w:val="00291080"/>
    <w:rsid w:val="00292BFD"/>
    <w:rsid w:val="00293365"/>
    <w:rsid w:val="002A12E4"/>
    <w:rsid w:val="002B7BFC"/>
    <w:rsid w:val="002D08D6"/>
    <w:rsid w:val="003017A8"/>
    <w:rsid w:val="0030597D"/>
    <w:rsid w:val="00337CAB"/>
    <w:rsid w:val="003436F7"/>
    <w:rsid w:val="00375675"/>
    <w:rsid w:val="003C543E"/>
    <w:rsid w:val="00416930"/>
    <w:rsid w:val="0043040E"/>
    <w:rsid w:val="00431A3F"/>
    <w:rsid w:val="004452B3"/>
    <w:rsid w:val="004669E0"/>
    <w:rsid w:val="004C5202"/>
    <w:rsid w:val="004C63C7"/>
    <w:rsid w:val="0054184D"/>
    <w:rsid w:val="00545E1D"/>
    <w:rsid w:val="00546170"/>
    <w:rsid w:val="005D13A6"/>
    <w:rsid w:val="00617F67"/>
    <w:rsid w:val="00627D2A"/>
    <w:rsid w:val="00640E96"/>
    <w:rsid w:val="006411E4"/>
    <w:rsid w:val="006612BC"/>
    <w:rsid w:val="006B4575"/>
    <w:rsid w:val="00711457"/>
    <w:rsid w:val="00711647"/>
    <w:rsid w:val="00715D56"/>
    <w:rsid w:val="007175FC"/>
    <w:rsid w:val="007404F3"/>
    <w:rsid w:val="007437C2"/>
    <w:rsid w:val="007730EB"/>
    <w:rsid w:val="007738BA"/>
    <w:rsid w:val="00795157"/>
    <w:rsid w:val="007F3A1C"/>
    <w:rsid w:val="00823360"/>
    <w:rsid w:val="00832E99"/>
    <w:rsid w:val="008D39C9"/>
    <w:rsid w:val="008D72B0"/>
    <w:rsid w:val="008E426C"/>
    <w:rsid w:val="00924453"/>
    <w:rsid w:val="00924930"/>
    <w:rsid w:val="00935E5F"/>
    <w:rsid w:val="009535E7"/>
    <w:rsid w:val="00973680"/>
    <w:rsid w:val="00976108"/>
    <w:rsid w:val="00984846"/>
    <w:rsid w:val="009A3F86"/>
    <w:rsid w:val="009B0067"/>
    <w:rsid w:val="009B0EE1"/>
    <w:rsid w:val="009C118C"/>
    <w:rsid w:val="00A81D8D"/>
    <w:rsid w:val="00AA2DCE"/>
    <w:rsid w:val="00AE648A"/>
    <w:rsid w:val="00B33135"/>
    <w:rsid w:val="00B632EA"/>
    <w:rsid w:val="00B76BB6"/>
    <w:rsid w:val="00B85A82"/>
    <w:rsid w:val="00BA011F"/>
    <w:rsid w:val="00BC2594"/>
    <w:rsid w:val="00D250D0"/>
    <w:rsid w:val="00D33EA4"/>
    <w:rsid w:val="00DB1AED"/>
    <w:rsid w:val="00E6787D"/>
    <w:rsid w:val="00F07D1D"/>
    <w:rsid w:val="00F225E4"/>
    <w:rsid w:val="00F251F7"/>
    <w:rsid w:val="00F269E1"/>
    <w:rsid w:val="00F35207"/>
    <w:rsid w:val="00FB38B7"/>
    <w:rsid w:val="00FE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680"/>
        <w:tab w:val="right" w:pos="9360"/>
      </w:tabs>
    </w:pPr>
    <w:rPr>
      <w:lang w:val="x-none" w:eastAsia="x-none"/>
    </w:rPr>
  </w:style>
  <w:style w:type="character" w:customStyle="1" w:styleId="HeaderChar">
    <w:name w:val="Header Char"/>
    <w:rPr>
      <w:sz w:val="22"/>
      <w:szCs w:val="22"/>
    </w:rPr>
  </w:style>
  <w:style w:type="paragraph" w:styleId="Footer">
    <w:name w:val="footer"/>
    <w:basedOn w:val="Normal"/>
    <w:semiHidden/>
    <w:unhideWhenUsed/>
    <w:pPr>
      <w:tabs>
        <w:tab w:val="center" w:pos="4680"/>
        <w:tab w:val="right" w:pos="9360"/>
      </w:tabs>
    </w:pPr>
    <w:rPr>
      <w:lang w:val="x-none" w:eastAsia="x-none"/>
    </w:rPr>
  </w:style>
  <w:style w:type="character" w:customStyle="1" w:styleId="FooterChar">
    <w:name w:val="Footer Char"/>
    <w:rPr>
      <w:sz w:val="22"/>
      <w:szCs w:val="22"/>
    </w:rPr>
  </w:style>
  <w:style w:type="paragraph" w:styleId="FootnoteText">
    <w:name w:val="footnote text"/>
    <w:basedOn w:val="Normal"/>
    <w:semiHidden/>
    <w:unhideWhenUsed/>
    <w:rPr>
      <w:sz w:val="20"/>
      <w:szCs w:val="20"/>
    </w:rPr>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character" w:styleId="Hyperlink">
    <w:name w:val="Hyperlink"/>
    <w:semiHidden/>
    <w:rPr>
      <w:color w:val="0000FF"/>
      <w:u w:val="single"/>
    </w:rPr>
  </w:style>
  <w:style w:type="paragraph" w:styleId="EndnoteText">
    <w:name w:val="endnote text"/>
    <w:basedOn w:val="Normal"/>
    <w:semiHidden/>
    <w:pPr>
      <w:spacing w:after="0" w:line="240" w:lineRule="auto"/>
    </w:pPr>
    <w:rPr>
      <w:rFonts w:ascii="Times New Roman" w:eastAsia="Times New Roman" w:hAnsi="Times New Roman"/>
      <w:sz w:val="20"/>
      <w:szCs w:val="20"/>
    </w:rPr>
  </w:style>
  <w:style w:type="character" w:styleId="EndnoteReference">
    <w:name w:val="endnote reference"/>
    <w:semiHidden/>
    <w:rPr>
      <w:vertAlign w:val="superscript"/>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PlaceholderText">
    <w:name w:val="Placeholder Text"/>
    <w:semiHidden/>
    <w:rPr>
      <w:color w:val="808080"/>
    </w:rPr>
  </w:style>
  <w:style w:type="paragraph" w:styleId="BodyTextIndent">
    <w:name w:val="Body Text Indent"/>
    <w:basedOn w:val="Normal"/>
    <w:semiHidden/>
    <w:pPr>
      <w:spacing w:after="0" w:line="480" w:lineRule="auto"/>
      <w:ind w:firstLine="72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680"/>
        <w:tab w:val="right" w:pos="9360"/>
      </w:tabs>
    </w:pPr>
    <w:rPr>
      <w:lang w:val="x-none" w:eastAsia="x-none"/>
    </w:rPr>
  </w:style>
  <w:style w:type="character" w:customStyle="1" w:styleId="HeaderChar">
    <w:name w:val="Header Char"/>
    <w:rPr>
      <w:sz w:val="22"/>
      <w:szCs w:val="22"/>
    </w:rPr>
  </w:style>
  <w:style w:type="paragraph" w:styleId="Footer">
    <w:name w:val="footer"/>
    <w:basedOn w:val="Normal"/>
    <w:semiHidden/>
    <w:unhideWhenUsed/>
    <w:pPr>
      <w:tabs>
        <w:tab w:val="center" w:pos="4680"/>
        <w:tab w:val="right" w:pos="9360"/>
      </w:tabs>
    </w:pPr>
    <w:rPr>
      <w:lang w:val="x-none" w:eastAsia="x-none"/>
    </w:rPr>
  </w:style>
  <w:style w:type="character" w:customStyle="1" w:styleId="FooterChar">
    <w:name w:val="Footer Char"/>
    <w:rPr>
      <w:sz w:val="22"/>
      <w:szCs w:val="22"/>
    </w:rPr>
  </w:style>
  <w:style w:type="paragraph" w:styleId="FootnoteText">
    <w:name w:val="footnote text"/>
    <w:basedOn w:val="Normal"/>
    <w:semiHidden/>
    <w:unhideWhenUsed/>
    <w:rPr>
      <w:sz w:val="20"/>
      <w:szCs w:val="20"/>
    </w:rPr>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character" w:styleId="Hyperlink">
    <w:name w:val="Hyperlink"/>
    <w:semiHidden/>
    <w:rPr>
      <w:color w:val="0000FF"/>
      <w:u w:val="single"/>
    </w:rPr>
  </w:style>
  <w:style w:type="paragraph" w:styleId="EndnoteText">
    <w:name w:val="endnote text"/>
    <w:basedOn w:val="Normal"/>
    <w:semiHidden/>
    <w:pPr>
      <w:spacing w:after="0" w:line="240" w:lineRule="auto"/>
    </w:pPr>
    <w:rPr>
      <w:rFonts w:ascii="Times New Roman" w:eastAsia="Times New Roman" w:hAnsi="Times New Roman"/>
      <w:sz w:val="20"/>
      <w:szCs w:val="20"/>
    </w:rPr>
  </w:style>
  <w:style w:type="character" w:styleId="EndnoteReference">
    <w:name w:val="endnote reference"/>
    <w:semiHidden/>
    <w:rPr>
      <w:vertAlign w:val="superscript"/>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PlaceholderText">
    <w:name w:val="Placeholder Text"/>
    <w:semiHidden/>
    <w:rPr>
      <w:color w:val="808080"/>
    </w:rPr>
  </w:style>
  <w:style w:type="paragraph" w:styleId="BodyTextIndent">
    <w:name w:val="Body Text Indent"/>
    <w:basedOn w:val="Normal"/>
    <w:semiHidden/>
    <w:pPr>
      <w:spacing w:after="0" w:line="480" w:lineRule="auto"/>
      <w:ind w:firstLine="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tes.google.com/site/joshuachall/hall_ross_pfr_final.pdf?attredirects=0" TargetMode="External"/><Relationship Id="rId18"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5A08-067E-4146-AF88-23FCF0D7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3196</TotalTime>
  <Pages>19</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Alchian and Allen Revisited: </vt:lpstr>
    </vt:vector>
  </TitlesOfParts>
  <Company>Beloit College</Company>
  <LinksUpToDate>false</LinksUpToDate>
  <CharactersWithSpaces>21519</CharactersWithSpaces>
  <SharedDoc>false</SharedDoc>
  <HLinks>
    <vt:vector size="6" baseType="variant">
      <vt:variant>
        <vt:i4>5832762</vt:i4>
      </vt:variant>
      <vt:variant>
        <vt:i4>15</vt:i4>
      </vt:variant>
      <vt:variant>
        <vt:i4>0</vt:i4>
      </vt:variant>
      <vt:variant>
        <vt:i4>5</vt:i4>
      </vt:variant>
      <vt:variant>
        <vt:lpwstr>http://sites.google.com/site/joshuachall/hall_ross_pfr_final.pdf?attredirects=0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Alchian and Allen Revisited: </dc:title>
  <dc:subject/>
  <dc:creator>Todd Nesbit</dc:creator>
  <cp:keywords/>
  <cp:lastModifiedBy>acts</cp:lastModifiedBy>
  <cp:revision>28</cp:revision>
  <cp:lastPrinted>2011-07-25T21:42:00Z</cp:lastPrinted>
  <dcterms:created xsi:type="dcterms:W3CDTF">2011-09-12T22:51:00Z</dcterms:created>
  <dcterms:modified xsi:type="dcterms:W3CDTF">2011-10-19T20:47:00Z</dcterms:modified>
</cp:coreProperties>
</file>