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E7" w:rsidRDefault="00FC79E7" w:rsidP="00FC79E7">
      <w:r>
        <w:t>Tom Means and Jack Estill</w:t>
      </w:r>
    </w:p>
    <w:p w:rsidR="00FC79E7" w:rsidRDefault="00FC79E7" w:rsidP="00FC79E7">
      <w:r>
        <w:t>Department of Economics</w:t>
      </w:r>
    </w:p>
    <w:p w:rsidR="00FC79E7" w:rsidRDefault="00FC79E7" w:rsidP="00FC79E7">
      <w:r>
        <w:t xml:space="preserve">San Jose State University </w:t>
      </w:r>
    </w:p>
    <w:p w:rsidR="00FC79E7" w:rsidRDefault="00FC79E7" w:rsidP="00FC79E7">
      <w:r>
        <w:t>San Jose, CA 95192-0114</w:t>
      </w:r>
    </w:p>
    <w:p w:rsidR="00FC79E7" w:rsidRDefault="00FC79E7" w:rsidP="00FC79E7"/>
    <w:p w:rsidR="00FC79E7" w:rsidRPr="000048A9" w:rsidRDefault="00FC79E7" w:rsidP="00FC79E7">
      <w:pPr>
        <w:rPr>
          <w:b/>
          <w:u w:val="single"/>
        </w:rPr>
      </w:pPr>
      <w:r w:rsidRPr="000048A9">
        <w:rPr>
          <w:b/>
          <w:u w:val="single"/>
        </w:rPr>
        <w:t>Please do not quote.  Comments welcome</w:t>
      </w:r>
    </w:p>
    <w:p w:rsidR="00FC79E7" w:rsidRDefault="00FC79E7" w:rsidP="00FC79E7"/>
    <w:p w:rsidR="00FC79E7" w:rsidRDefault="00FC79E7" w:rsidP="00FC79E7">
      <w:r>
        <w:t>2011 APEE Annual Conference</w:t>
      </w:r>
    </w:p>
    <w:p w:rsidR="00FC79E7" w:rsidRDefault="00FC79E7" w:rsidP="00FC79E7">
      <w:r>
        <w:t>Nassau, Bahamas</w:t>
      </w:r>
    </w:p>
    <w:p w:rsidR="00FC79E7" w:rsidRDefault="00FC79E7" w:rsidP="00FC79E7"/>
    <w:p w:rsidR="00FC79E7" w:rsidRDefault="00FC79E7" w:rsidP="00FC79E7"/>
    <w:p w:rsidR="00FC79E7" w:rsidRPr="003A1ACC" w:rsidRDefault="00FC79E7" w:rsidP="00FC79E7">
      <w:pPr>
        <w:jc w:val="center"/>
        <w:rPr>
          <w:b/>
        </w:rPr>
      </w:pPr>
      <w:r w:rsidRPr="003A1ACC">
        <w:rPr>
          <w:b/>
        </w:rPr>
        <w:t>Abstract</w:t>
      </w:r>
    </w:p>
    <w:p w:rsidR="009135EE" w:rsidRDefault="00B272DF" w:rsidP="00986C65">
      <w:pPr>
        <w:jc w:val="center"/>
      </w:pPr>
      <w:r>
        <w:t>The Legality and Economics of Development Fees – A Case Study of Parks</w:t>
      </w:r>
    </w:p>
    <w:p w:rsidR="00B272DF" w:rsidRDefault="00B272DF" w:rsidP="00986C65">
      <w:pPr>
        <w:jc w:val="center"/>
      </w:pPr>
    </w:p>
    <w:p w:rsidR="00A97374" w:rsidRDefault="00A97374" w:rsidP="00986C65">
      <w:pPr>
        <w:jc w:val="center"/>
      </w:pPr>
    </w:p>
    <w:p w:rsidR="00B272DF" w:rsidRDefault="00B272DF" w:rsidP="00B272DF">
      <w:pPr>
        <w:jc w:val="center"/>
      </w:pPr>
      <w:r>
        <w:t>I. Introduction</w:t>
      </w:r>
    </w:p>
    <w:p w:rsidR="00B272DF" w:rsidRDefault="00B272DF" w:rsidP="00B272DF">
      <w:pPr>
        <w:jc w:val="center"/>
      </w:pPr>
    </w:p>
    <w:p w:rsidR="00B272DF" w:rsidRDefault="00B272DF" w:rsidP="00B272DF">
      <w:pPr>
        <w:spacing w:line="480" w:lineRule="auto"/>
      </w:pPr>
      <w:r>
        <w:t xml:space="preserve">Community politicians and planners spend resources to determine the “right” mix of uses that they believe will best serve the community they serve. </w:t>
      </w:r>
      <w:r w:rsidR="00F004F0">
        <w:t xml:space="preserve">Cities and towns need </w:t>
      </w:r>
      <w:r>
        <w:t>a mix of uses, as well as a mix of revenues to remain viable.</w:t>
      </w:r>
      <w:r w:rsidR="00F004F0">
        <w:t xml:space="preserve"> This has lead to a system of categorizing different uses and attempting to allocate revenues and costs to each use. At the same time communities have categorized the infrastructure and services they wish to include in their communities and tried to establish costs for these services to be allocated to each type of use.  When new development is proposed, the costs established are used to determine how much any project pays to keep the community from subsidizing it. Over time there has been a movement to raise fees above their marginal cost</w:t>
      </w:r>
      <w:r w:rsidR="0091643F">
        <w:t xml:space="preserve"> for both because of the difficulty in establishing marginal costs and because of public choice issues</w:t>
      </w:r>
      <w:r w:rsidR="005A7DC9">
        <w:rPr>
          <w:rStyle w:val="FootnoteReference"/>
        </w:rPr>
        <w:footnoteReference w:id="1"/>
      </w:r>
      <w:r w:rsidR="00F004F0">
        <w:t xml:space="preserve">. The courts have increasingly </w:t>
      </w:r>
      <w:r w:rsidR="0091643F">
        <w:t xml:space="preserve">limited the scope of development fees and dedications to fees that bear a rational </w:t>
      </w:r>
      <w:proofErr w:type="gramStart"/>
      <w:r w:rsidR="0091643F">
        <w:t>connection(</w:t>
      </w:r>
      <w:proofErr w:type="gramEnd"/>
      <w:r w:rsidR="0091643F">
        <w:t>nexus) and rough proportionality to the impact of a development to the community. Estill et al</w:t>
      </w:r>
      <w:r w:rsidR="005A7DC9">
        <w:rPr>
          <w:rStyle w:val="FootnoteReference"/>
        </w:rPr>
        <w:footnoteReference w:id="2"/>
      </w:r>
      <w:r w:rsidR="0091643F">
        <w:t xml:space="preserve"> have found that the use of development fees for traffic impacts, </w:t>
      </w:r>
      <w:r w:rsidR="0091643F">
        <w:lastRenderedPageBreak/>
        <w:t xml:space="preserve">even with nexus and proportionality are often poorly calculated and </w:t>
      </w:r>
      <w:r w:rsidR="00577D1E">
        <w:t>inefficient in their use. In this paper we will look at the development fees as applied to parks in Mt. View, California as a case study to see if this application encourages an efficient level of park production. We will point out both the problems of calculating the appropriate amount of fees and the public choice arguments why the efficient solution is unlikely to be found. Finally, we will suggest some alternative methods for dealing with park fees.</w:t>
      </w:r>
    </w:p>
    <w:p w:rsidR="00577D1E" w:rsidRDefault="00577D1E" w:rsidP="00B272DF">
      <w:pPr>
        <w:spacing w:line="480" w:lineRule="auto"/>
      </w:pPr>
    </w:p>
    <w:p w:rsidR="00577D1E" w:rsidRDefault="001A658A" w:rsidP="00B272DF">
      <w:pPr>
        <w:spacing w:line="480" w:lineRule="auto"/>
      </w:pPr>
      <w:r>
        <w:t xml:space="preserve">This paper will be organized as follows. Section II will be a brief review of the law surrounding development dedications and fees. Section III will out line the park fee structure for the City of Mountain View, California. Section IV will point out some of the economic inconsistencies in this use of fees. Section V will explore some of the public choice problems with the fees. Section VI will provide some alternatives to achieve a more efficient outcome </w:t>
      </w:r>
    </w:p>
    <w:p w:rsidR="00A97374" w:rsidRDefault="00A97374" w:rsidP="00B272DF">
      <w:pPr>
        <w:spacing w:line="480" w:lineRule="auto"/>
      </w:pPr>
    </w:p>
    <w:p w:rsidR="001A658A" w:rsidRPr="00CF1915" w:rsidRDefault="001A658A" w:rsidP="001A658A">
      <w:pPr>
        <w:spacing w:line="480" w:lineRule="auto"/>
        <w:jc w:val="center"/>
        <w:rPr>
          <w:vertAlign w:val="superscript"/>
        </w:rPr>
      </w:pPr>
      <w:r>
        <w:t>II. A Brief Legal History of Dedications</w:t>
      </w:r>
      <w:r w:rsidR="005A7DC9">
        <w:rPr>
          <w:rStyle w:val="FootnoteReference"/>
        </w:rPr>
        <w:footnoteReference w:id="3"/>
      </w:r>
    </w:p>
    <w:p w:rsidR="001A658A" w:rsidRPr="00FD7290" w:rsidRDefault="001A658A" w:rsidP="001A658A">
      <w:pPr>
        <w:spacing w:line="480" w:lineRule="auto"/>
        <w:rPr>
          <w:vertAlign w:val="superscript"/>
        </w:rPr>
      </w:pPr>
      <w:r>
        <w:t>Communities require services and infrastructure such as streets, parks, police, fire protection, water, sewage removal, and other amenities. New development in existing communities can increase the demand for these services. Communities have historically paid for these services using bonds and property taxes along with state and federal subsidies and grants and subdivision dedications. As commun</w:t>
      </w:r>
      <w:r w:rsidR="00865E41">
        <w:t>ities have become more dense,</w:t>
      </w:r>
      <w:r>
        <w:t xml:space="preserve"> improvements more complicated, </w:t>
      </w:r>
      <w:r w:rsidR="00865E41">
        <w:t>matching funds less available (declining federal and state subsidies), and property taxes more restricted (i.e. Proposition 13 property tax limitations in California), cities have searched for other sources of revenue for infrastructure. One widely used source is dedications and in-kind fees. Roughly 60% of local governments were using in-kind levies and dedication fees by the mid 1980’s.</w:t>
      </w:r>
      <w:r w:rsidR="005A7DC9">
        <w:rPr>
          <w:rStyle w:val="FootnoteReference"/>
        </w:rPr>
        <w:footnoteReference w:id="4"/>
      </w:r>
      <w:r w:rsidR="00865E41">
        <w:t xml:space="preserve"> </w:t>
      </w:r>
      <w:proofErr w:type="gramStart"/>
      <w:r w:rsidR="00FD7290">
        <w:t>The</w:t>
      </w:r>
      <w:proofErr w:type="gramEnd"/>
      <w:r w:rsidR="00FD7290">
        <w:t xml:space="preserve"> rational behind these levies was that new development in an existing community might create costs that would spill over onto existing residents. To the extent that these costs were not included in the cost of </w:t>
      </w:r>
      <w:proofErr w:type="gramStart"/>
      <w:r w:rsidR="00FD7290">
        <w:t>development ,</w:t>
      </w:r>
      <w:proofErr w:type="gramEnd"/>
      <w:r w:rsidR="00FD7290">
        <w:t xml:space="preserve"> the price of development would be too low and too much development would take place. If this cost were known, one solution was to impose a </w:t>
      </w:r>
      <w:proofErr w:type="spellStart"/>
      <w:r w:rsidR="00FD7290">
        <w:t>Pigovian</w:t>
      </w:r>
      <w:proofErr w:type="spellEnd"/>
      <w:r w:rsidR="00FD7290">
        <w:t xml:space="preserve"> dedication or fee in the amount of the cost. This would increase the cost of development to include this third party cost, thereby internalizing the externality and producing an efficient amount of development.</w:t>
      </w:r>
      <w:r w:rsidR="005A7DC9">
        <w:rPr>
          <w:rStyle w:val="FootnoteReference"/>
        </w:rPr>
        <w:footnoteReference w:id="5"/>
      </w:r>
    </w:p>
    <w:p w:rsidR="00865E41" w:rsidRDefault="00865E41" w:rsidP="001A658A">
      <w:pPr>
        <w:spacing w:line="480" w:lineRule="auto"/>
      </w:pPr>
    </w:p>
    <w:p w:rsidR="00865E41" w:rsidRPr="00CF1915" w:rsidRDefault="00FD7290" w:rsidP="001A658A">
      <w:pPr>
        <w:spacing w:line="480" w:lineRule="auto"/>
        <w:rPr>
          <w:vertAlign w:val="superscript"/>
        </w:rPr>
      </w:pPr>
      <w:r>
        <w:t>Local governments have used</w:t>
      </w:r>
      <w:r w:rsidR="00865E41">
        <w:t xml:space="preserve"> dedications since the 1920’s</w:t>
      </w:r>
      <w:r w:rsidR="005A7DC9">
        <w:t>.</w:t>
      </w:r>
      <w:r w:rsidR="005A7DC9">
        <w:rPr>
          <w:rStyle w:val="FootnoteReference"/>
        </w:rPr>
        <w:footnoteReference w:id="6"/>
      </w:r>
      <w:r w:rsidR="00865E41">
        <w:t xml:space="preserve"> These dedications, also known as exactions, included the on-site construction of public improvements and/or the dedication of land for public use.</w:t>
      </w:r>
      <w:r w:rsidR="004D6591">
        <w:t xml:space="preserve"> When land was not available for a specific use, developers could substitute other off-site land or pay a fee in lieu of the dedication in an appropriate amount. Over time fees in lieu of dedication (know as in-lieu fees) became an increasingly important alternative source </w:t>
      </w:r>
      <w:r w:rsidR="00CF1915">
        <w:t>for funding</w:t>
      </w:r>
      <w:r w:rsidR="004D6591">
        <w:t xml:space="preserve"> capital improvements.</w:t>
      </w:r>
      <w:r w:rsidR="005A7DC9">
        <w:rPr>
          <w:rStyle w:val="FootnoteReference"/>
        </w:rPr>
        <w:footnoteReference w:id="7"/>
      </w:r>
      <w:r w:rsidR="004D6591">
        <w:t xml:space="preserve"> These fees are generally one-time charges differentiated from taxes though they share two characteristics with taxes. They are a monetary charge to developers that raises the cost of development and they are generally charged proportionately. However, they have one distinct difference with taxes. Local government does not need specific legislative authority from the state to charge in-lieu-fees. Through a series of cases, the courts have upheld local governments’ right to exact these fees under their police power to protect the health, safety and welfare of their citizens.</w:t>
      </w:r>
      <w:r w:rsidR="005A7DC9">
        <w:rPr>
          <w:rStyle w:val="FootnoteReference"/>
        </w:rPr>
        <w:footnoteReference w:id="8"/>
      </w:r>
    </w:p>
    <w:p w:rsidR="004D6591" w:rsidRDefault="004D6591" w:rsidP="001A658A">
      <w:pPr>
        <w:spacing w:line="480" w:lineRule="auto"/>
      </w:pPr>
    </w:p>
    <w:p w:rsidR="004D6591" w:rsidRDefault="00CF1915" w:rsidP="001A658A">
      <w:pPr>
        <w:spacing w:line="480" w:lineRule="auto"/>
      </w:pPr>
      <w:r>
        <w:t xml:space="preserve">California Constitution established this police power Article XI, Section 7. Local governments have the power to “make and enforce within limits all local police, </w:t>
      </w:r>
      <w:proofErr w:type="gramStart"/>
      <w:r>
        <w:t>sanitary,</w:t>
      </w:r>
      <w:proofErr w:type="gramEnd"/>
      <w:r>
        <w:t xml:space="preserve"> and other ordinances and regulations not in conflict with general laws.”</w:t>
      </w:r>
      <w:r w:rsidR="005A7DC9">
        <w:rPr>
          <w:rStyle w:val="FootnoteReference"/>
        </w:rPr>
        <w:footnoteReference w:id="9"/>
      </w:r>
      <w:r>
        <w:t xml:space="preserve"> This power was confirmed in </w:t>
      </w:r>
      <w:r>
        <w:rPr>
          <w:i/>
        </w:rPr>
        <w:t>California Building Association v. Governing Board of the Newhall School District</w:t>
      </w:r>
      <w:r>
        <w:t>.</w:t>
      </w:r>
      <w:r w:rsidR="00645D27">
        <w:t xml:space="preserve"> Over time courts began to establish more precise limits to the imposition of in-lieu or impact fees. In 1949 in </w:t>
      </w:r>
      <w:r w:rsidR="00645D27">
        <w:rPr>
          <w:i/>
        </w:rPr>
        <w:t>Ayres v. City Council</w:t>
      </w:r>
      <w:r w:rsidR="00645D27">
        <w:t xml:space="preserve"> the California Supreme Court upheld a street right-of-way dedication adjacent to a new development as a reasonable connection. The California Supreme Court also ruled in </w:t>
      </w:r>
      <w:r w:rsidR="00645D27">
        <w:rPr>
          <w:i/>
        </w:rPr>
        <w:t xml:space="preserve">Candid Enterprises, Inc. v. </w:t>
      </w:r>
      <w:proofErr w:type="spellStart"/>
      <w:r w:rsidR="00645D27">
        <w:rPr>
          <w:i/>
        </w:rPr>
        <w:t>Grossmont</w:t>
      </w:r>
      <w:proofErr w:type="spellEnd"/>
      <w:r w:rsidR="00645D27">
        <w:rPr>
          <w:i/>
        </w:rPr>
        <w:t xml:space="preserve"> Union School District</w:t>
      </w:r>
      <w:r w:rsidR="00645D27">
        <w:t xml:space="preserve"> that the police powers within their own jurisdiction were as broad as the powers of the Legislature itself. The powers were primarily legislative and not judicial, so that the courts might review their reasonableness to legislative intent, but not </w:t>
      </w:r>
      <w:r w:rsidR="004C6BF2">
        <w:t>establish any intent of their own.</w:t>
      </w:r>
      <w:r w:rsidR="005A7DC9">
        <w:rPr>
          <w:rStyle w:val="FootnoteReference"/>
        </w:rPr>
        <w:footnoteReference w:id="10"/>
      </w:r>
      <w:r w:rsidR="004C6BF2">
        <w:t xml:space="preserve"> Next, in </w:t>
      </w:r>
      <w:proofErr w:type="spellStart"/>
      <w:r w:rsidR="004C6BF2">
        <w:rPr>
          <w:i/>
        </w:rPr>
        <w:t>Nollan</w:t>
      </w:r>
      <w:proofErr w:type="spellEnd"/>
      <w:r w:rsidR="004C6BF2">
        <w:rPr>
          <w:i/>
        </w:rPr>
        <w:t xml:space="preserve"> v. California Coastal </w:t>
      </w:r>
      <w:proofErr w:type="spellStart"/>
      <w:r w:rsidR="004C6BF2">
        <w:rPr>
          <w:i/>
        </w:rPr>
        <w:t>Commision</w:t>
      </w:r>
      <w:proofErr w:type="spellEnd"/>
      <w:r w:rsidR="004C6BF2">
        <w:t xml:space="preserve"> the United States Supreme Court established that a rational connection (nexus) must exist between </w:t>
      </w:r>
      <w:proofErr w:type="gramStart"/>
      <w:r w:rsidR="004C6BF2">
        <w:t>a</w:t>
      </w:r>
      <w:proofErr w:type="gramEnd"/>
      <w:r w:rsidR="004C6BF2">
        <w:t xml:space="preserve"> exaction and the development a landowner proposes. The California Court of Appeals strengthened this interpretation in </w:t>
      </w:r>
      <w:r w:rsidR="004C6BF2" w:rsidRPr="004C6BF2">
        <w:rPr>
          <w:i/>
        </w:rPr>
        <w:t>Blue Jeans Equity West v. City and County of San Francisco</w:t>
      </w:r>
      <w:r w:rsidR="004C6BF2">
        <w:t xml:space="preserve"> finding that the actual conveyance of property required a closer connection than the payment of a fee. In 1994 a divided United States Supreme Court found in </w:t>
      </w:r>
      <w:r w:rsidR="004C6BF2">
        <w:rPr>
          <w:i/>
        </w:rPr>
        <w:t>Dolan v. City of Tigard</w:t>
      </w:r>
      <w:r w:rsidR="00FE17A3">
        <w:t xml:space="preserve"> that local government can impose development conditions as a legitimate use of their police power if the dedications promote a legitimate public purpose, show a nexus, </w:t>
      </w:r>
      <w:r w:rsidR="00FE17A3">
        <w:rPr>
          <w:i/>
        </w:rPr>
        <w:t>and</w:t>
      </w:r>
      <w:r w:rsidR="00FE17A3">
        <w:t xml:space="preserve"> </w:t>
      </w:r>
      <w:r w:rsidR="00FE17A3" w:rsidRPr="00FE17A3">
        <w:rPr>
          <w:i/>
        </w:rPr>
        <w:t>have rough proportionality</w:t>
      </w:r>
      <w:r w:rsidR="00FE17A3">
        <w:t xml:space="preserve"> to the development’s impact. While dedications were already being treated more strictly than in-lieu fees, this left the question of their application open. The California Supreme Court answered this question in </w:t>
      </w:r>
      <w:r w:rsidR="00FE17A3" w:rsidRPr="00FE17A3">
        <w:rPr>
          <w:i/>
        </w:rPr>
        <w:t>Ehrlich v. City of Culver City</w:t>
      </w:r>
      <w:r w:rsidR="00FE17A3">
        <w:t xml:space="preserve">. The Court found that ad hoc development conditions on individual projects pose “an inherent and heightened risk” the government could use its police powers to impose unrelated </w:t>
      </w:r>
      <w:r w:rsidR="00DA5DA5">
        <w:t xml:space="preserve">or unfairly compensated conditions on an individual developer. Dedications on a broad class of property were not subject to this heightened risk, but individual dedications and ad hoc fees were. They required more scrutiny. As this case law was evolving legislation was passed in California in 1987, effective on January 1, 1989 that added section 66000-66025 to the California Government Code (known as the “Mitigation Fee Act”) which includes both legislatively imposed and ad hoc fees. Fees must have an established purpose, an established use including any public facilities to be financed, a reasonable nexus, a reasonable </w:t>
      </w:r>
      <w:r w:rsidR="00BC25E5">
        <w:t>relationship between any proposed public facility and the type of development, a reasonable relationship between the amount of the fee and the cost of the imposed impact, a formal capital improvement plan, and an accounting showing that the fees were used only for the purposes intended. The act sets a time limit for the expenditure of funds and requires that any unexpended funds be returned.</w:t>
      </w:r>
    </w:p>
    <w:p w:rsidR="00BC25E5" w:rsidRDefault="00BC25E5" w:rsidP="001A658A">
      <w:pPr>
        <w:spacing w:line="480" w:lineRule="auto"/>
      </w:pPr>
    </w:p>
    <w:p w:rsidR="00BC25E5" w:rsidRDefault="00BC25E5" w:rsidP="001A658A">
      <w:pPr>
        <w:spacing w:line="480" w:lineRule="auto"/>
      </w:pPr>
      <w:r>
        <w:t xml:space="preserve">While this act is quite specific in its requirements, local governments still </w:t>
      </w:r>
      <w:r w:rsidR="00973F56">
        <w:t>miscalculate and misapply these in-lieu fees. While many commentators find traffic in-lieu fees a successful use of exactions,</w:t>
      </w:r>
      <w:r w:rsidR="005A7DC9">
        <w:rPr>
          <w:rStyle w:val="FootnoteReference"/>
        </w:rPr>
        <w:footnoteReference w:id="11"/>
      </w:r>
      <w:r w:rsidR="00973F56">
        <w:t xml:space="preserve"> others have found them lacking.</w:t>
      </w:r>
      <w:r w:rsidR="005A7DC9">
        <w:rPr>
          <w:rStyle w:val="FootnoteReference"/>
        </w:rPr>
        <w:footnoteReference w:id="12"/>
      </w:r>
      <w:r w:rsidR="00973F56">
        <w:t xml:space="preserve"> Using park fees in Mountain View, California let’s look at how these fees are calculated and imposed and see if they better serve the </w:t>
      </w:r>
      <w:proofErr w:type="spellStart"/>
      <w:r w:rsidR="00973F56">
        <w:t>Pigovian</w:t>
      </w:r>
      <w:proofErr w:type="spellEnd"/>
      <w:r w:rsidR="00973F56">
        <w:t xml:space="preserve"> ideal.</w:t>
      </w:r>
    </w:p>
    <w:p w:rsidR="00A97374" w:rsidRDefault="00A97374" w:rsidP="001A658A">
      <w:pPr>
        <w:spacing w:line="480" w:lineRule="auto"/>
      </w:pPr>
    </w:p>
    <w:p w:rsidR="00973F56" w:rsidRDefault="00973F56" w:rsidP="00FA1582">
      <w:pPr>
        <w:spacing w:line="480" w:lineRule="auto"/>
        <w:jc w:val="center"/>
      </w:pPr>
      <w:r>
        <w:t>III</w:t>
      </w:r>
      <w:r w:rsidR="00FA1582">
        <w:t xml:space="preserve">. </w:t>
      </w:r>
      <w:r w:rsidR="005A7DC9">
        <w:t>Park Fees in Mountain View, Califo</w:t>
      </w:r>
      <w:r w:rsidR="009C0282">
        <w:t>r</w:t>
      </w:r>
      <w:r w:rsidR="005A7DC9">
        <w:t>nia</w:t>
      </w:r>
    </w:p>
    <w:p w:rsidR="00A23AE9" w:rsidRDefault="005A7DC9" w:rsidP="005A7DC9">
      <w:pPr>
        <w:spacing w:line="480" w:lineRule="auto"/>
      </w:pPr>
      <w:r>
        <w:t>Mountain View like many surrounding communities considers open space and recreation as vital amenities to the</w:t>
      </w:r>
      <w:r w:rsidR="009C0282">
        <w:t>ir</w:t>
      </w:r>
      <w:r>
        <w:t xml:space="preserve"> community. </w:t>
      </w:r>
      <w:r w:rsidR="009C0282">
        <w:t xml:space="preserve">Their current requirement is three acres of park land for every one thousand people who live in the community. </w:t>
      </w:r>
      <w:r w:rsidR="003E34C3">
        <w:t xml:space="preserve">This requirement does not seem to be unreasonable. </w:t>
      </w:r>
      <w:r w:rsidR="009C0282">
        <w:t xml:space="preserve">Under California law the maximum amount of land that a community can set aside is five acres of park land for every one thousand </w:t>
      </w:r>
      <w:r w:rsidR="003E34C3">
        <w:t xml:space="preserve">residents. Nearby communities vary between one and a quarter acres and five acres (See Chart 1). </w:t>
      </w:r>
      <w:r w:rsidR="00EB4424">
        <w:t>Having established a desirable amount of land per person, the City has endeavored to create a method for charging new development for its proportionate share of the park land requirement. Since the City cannot know the actual number of new persons that each new unit of housing will ultimately bring, they use a proxy of the average number of residents per dwelling unit based on four levels of dwelling density. Low density (4-5 bedrooms) is considered 2.7 persons per dwelling unit. Medium low density (3-4 bedrooms) is 2.3 persons. Medium density (2-4 bedrooms) is 2.0 persons and medium high/high (1-3 bedrooms) is 2.0 persons. Again, while there is some variance with nearby communities, that variance does not appear to be not significant (see Chart 1).</w:t>
      </w:r>
      <w:r w:rsidR="00A23AE9">
        <w:t xml:space="preserve"> The City updates its dwelling unit count every ten years with new census data. The last up-date was after the 2000 census, so another update is forthcoming. </w:t>
      </w:r>
      <w:r w:rsidR="00EB4424">
        <w:t xml:space="preserve"> </w:t>
      </w:r>
      <w:r w:rsidR="00A23AE9">
        <w:t xml:space="preserve">Of course not all local governments use dwelling density and the City of Mountain View has explored other means of calculating the impact of new housing on park land. Specifically, they looked at charging a fee based on bedrooms. However, </w:t>
      </w:r>
      <w:r w:rsidR="006B1FA0">
        <w:t>when calculated the bedroom matrix increased fees by thirteen to thirty percent depending on the density considered. Ultimately the City Council rejected the proposed change to bedrooms.</w:t>
      </w:r>
    </w:p>
    <w:p w:rsidR="00A23AE9" w:rsidRDefault="00A23AE9" w:rsidP="005A7DC9">
      <w:pPr>
        <w:spacing w:line="480" w:lineRule="auto"/>
      </w:pPr>
    </w:p>
    <w:p w:rsidR="005A7DC9" w:rsidRDefault="00BE780C" w:rsidP="005A7DC9">
      <w:pPr>
        <w:spacing w:line="480" w:lineRule="auto"/>
      </w:pPr>
      <w:r>
        <w:t>The next step in determining the an appropriate dedication or in-lieu fee would be to calculate a specific proposed residential development’s contribution to parkland by determining the total number of persons that would live there under the dwelling density table by type of development and establish what part of a thousand that number is.</w:t>
      </w:r>
      <w:r w:rsidR="006B1FA0">
        <w:t xml:space="preserve"> This number would be multiplied by 3 (acres) to determine the land requirement and this could be valued with improvements.</w:t>
      </w:r>
      <w:r>
        <w:t xml:space="preserve"> For instance, if the proposed development was high density with 50 units, the dwelling density would be 2 persons be unit for a total of 100 people. This development would be responsible for an increase in park land of one hundred people divided by one thousand times three acres or one third of an acre of park land. The developer could dedicate one third of an acre for public use including improvements or pay a fee in lieu of the dedication and improvements. </w:t>
      </w:r>
      <w:r w:rsidR="00A23AE9">
        <w:t>In order to fulfill the requirements of the laws, i</w:t>
      </w:r>
      <w:r>
        <w:t xml:space="preserve">n the case of a dedication the developer would know the cost of the land from their own </w:t>
      </w:r>
      <w:r w:rsidR="00A23AE9">
        <w:t>development agreement and</w:t>
      </w:r>
      <w:r>
        <w:t xml:space="preserve"> bear the market cost of the necessary improvements</w:t>
      </w:r>
      <w:r w:rsidR="00A23AE9">
        <w:t>. In the case of a fee the City could use the developer’s land cost or could find a reasonable substitute land price based on similar sales</w:t>
      </w:r>
      <w:r>
        <w:t xml:space="preserve"> </w:t>
      </w:r>
      <w:r w:rsidR="00A23AE9">
        <w:t xml:space="preserve">and could determine a reasonable estimate of the improvements costs through bidding or a cost estimate service. </w:t>
      </w:r>
      <w:r w:rsidR="006B1FA0">
        <w:t>It would seem then that this formula would lead to an efficient amount of park space</w:t>
      </w:r>
      <w:r w:rsidR="00D7515D">
        <w:t>. But, would it?</w:t>
      </w:r>
    </w:p>
    <w:p w:rsidR="00A97374" w:rsidRDefault="00A97374" w:rsidP="005A7DC9">
      <w:pPr>
        <w:spacing w:line="480" w:lineRule="auto"/>
      </w:pPr>
    </w:p>
    <w:p w:rsidR="00D7515D" w:rsidRDefault="00A97374" w:rsidP="00A97374">
      <w:pPr>
        <w:spacing w:line="480" w:lineRule="auto"/>
        <w:jc w:val="center"/>
      </w:pPr>
      <w:r>
        <w:t>IV. The Economics of Park Fees</w:t>
      </w:r>
    </w:p>
    <w:p w:rsidR="00362D71" w:rsidRDefault="00D7515D" w:rsidP="005A7DC9">
      <w:pPr>
        <w:spacing w:line="480" w:lineRule="auto"/>
      </w:pPr>
      <w:r>
        <w:t>The first issue we would want to address is what is the “right” amount of park space? While California has set an upper limit on the acceptable amount of park per thousand people, City “staff was not able to find any information that would help determine the demand for park space generated by specific type or size of housing unit.”</w:t>
      </w:r>
      <w:r>
        <w:rPr>
          <w:rStyle w:val="FootnoteReference"/>
        </w:rPr>
        <w:footnoteReference w:id="13"/>
      </w:r>
      <w:r>
        <w:t xml:space="preserve"> Actual demand for a good or service can only be measured through exchange.</w:t>
      </w:r>
      <w:r>
        <w:rPr>
          <w:rStyle w:val="FootnoteReference"/>
        </w:rPr>
        <w:footnoteReference w:id="14"/>
      </w:r>
      <w:r>
        <w:t xml:space="preserve"> </w:t>
      </w:r>
      <w:r w:rsidR="00362D71">
        <w:t>Choosing a ratio of three acres per one thousand people sounds good, but what is its basis in fact? On e might argue that at zero cost residents would choose to consume a large quantity of parks. Unfortunately, demand is not independent of price. And residents do pay for parks one way or another. But more on costs in a minute</w:t>
      </w:r>
    </w:p>
    <w:p w:rsidR="00362D71" w:rsidRDefault="00362D71" w:rsidP="005A7DC9">
      <w:pPr>
        <w:spacing w:line="480" w:lineRule="auto"/>
      </w:pPr>
    </w:p>
    <w:p w:rsidR="00EE0595" w:rsidRDefault="00362D71" w:rsidP="005A7DC9">
      <w:pPr>
        <w:spacing w:line="480" w:lineRule="auto"/>
      </w:pPr>
      <w:r>
        <w:t xml:space="preserve"> </w:t>
      </w:r>
      <w:r w:rsidR="00D7515D">
        <w:t>To the degree that parks are a public good rather than a private good, they display non-exclusivity and are non-rivalrous in consumption.</w:t>
      </w:r>
      <w:r w:rsidR="00D7515D">
        <w:rPr>
          <w:rStyle w:val="FootnoteReference"/>
        </w:rPr>
        <w:footnoteReference w:id="15"/>
      </w:r>
      <w:r w:rsidR="00D7515D">
        <w:t xml:space="preserve"> Because of their “lumpiness” more people can consume a park until some limit of congestion is reached. At this point one cannot add an incremental piece of park</w:t>
      </w:r>
      <w:r w:rsidR="008B7F22">
        <w:t>, to relieve the congestion. And, if the park is truly non-excludable, one cannot charge a higher price than zero to ensure an economically efficient amount of congestion. But, are parks truly public goods or can people be excluded and charged different fees for different services that parks might provide. In fact the City of Mountain View recognizes that parks can be treated like private goods when it allows developers at City discretion to provide community services on private land (with caveats) for up to fifty percent of their impact determination.</w:t>
      </w:r>
      <w:r w:rsidR="008B7F22">
        <w:rPr>
          <w:rStyle w:val="FootnoteReference"/>
        </w:rPr>
        <w:footnoteReference w:id="16"/>
      </w:r>
      <w:r w:rsidR="008B7F22">
        <w:t xml:space="preserve"> Doesn’t this mean that park land could be treated as a private good and be provided at some price by private owners who would have </w:t>
      </w:r>
      <w:r>
        <w:t xml:space="preserve">a market place to establish </w:t>
      </w:r>
      <w:r w:rsidR="008B7F22">
        <w:t xml:space="preserve">the correct incentives for providing the </w:t>
      </w:r>
      <w:r w:rsidR="00EE0595">
        <w:t xml:space="preserve">efficient </w:t>
      </w:r>
      <w:proofErr w:type="gramStart"/>
      <w:r w:rsidR="00EE0595">
        <w:t xml:space="preserve">amount </w:t>
      </w:r>
      <w:r>
        <w:t xml:space="preserve"> of</w:t>
      </w:r>
      <w:proofErr w:type="gramEnd"/>
      <w:r>
        <w:t xml:space="preserve"> park services </w:t>
      </w:r>
      <w:r w:rsidR="00EE0595">
        <w:t>where marginal cost just equals marginal revenue?</w:t>
      </w:r>
    </w:p>
    <w:p w:rsidR="00EE0595" w:rsidRDefault="00EE0595" w:rsidP="005A7DC9">
      <w:pPr>
        <w:spacing w:line="480" w:lineRule="auto"/>
      </w:pPr>
    </w:p>
    <w:p w:rsidR="00EE0595" w:rsidRDefault="00EE0595" w:rsidP="005A7DC9">
      <w:pPr>
        <w:spacing w:line="480" w:lineRule="auto"/>
      </w:pPr>
      <w:r>
        <w:t>Costing is another area that deserves scrutiny. California’s Department of Housing and Urban Development (HUD) requires the costs of in-lieu fees be calculated using marginal costs (the cost of providing one more unit) rather than average costing.</w:t>
      </w:r>
      <w:r>
        <w:rPr>
          <w:rStyle w:val="FootnoteReference"/>
        </w:rPr>
        <w:footnoteReference w:id="17"/>
      </w:r>
      <w:r>
        <w:t xml:space="preserve"> Notice that developers have the incentive to provide improvements up to the point where the revenue generated by the improvement is just equal to its cost and not further. Any further improvements will not pay for themselves and developers will experience losses. Of course even developers must guess at what that amount is, but through the pricing process and competition the efficient level of improvements evolves. </w:t>
      </w:r>
      <w:r w:rsidR="00362D71">
        <w:t>In practice</w:t>
      </w:r>
      <w:r>
        <w:t xml:space="preserve"> cities that do not make exchanges in the market place</w:t>
      </w:r>
      <w:r w:rsidR="00362D71">
        <w:t xml:space="preserve"> and </w:t>
      </w:r>
      <w:r>
        <w:t xml:space="preserve">determining marginal cost is difficult. Most </w:t>
      </w:r>
      <w:r w:rsidR="00362D71">
        <w:t xml:space="preserve">local governments </w:t>
      </w:r>
      <w:r>
        <w:t>rely on average cost models that take existing improvements</w:t>
      </w:r>
      <w:r w:rsidR="00362D71">
        <w:t xml:space="preserve"> and divide them by current population to determine the cost of further improvements</w:t>
      </w:r>
      <w:r w:rsidR="00BF48BA">
        <w:t xml:space="preserve"> of the same type</w:t>
      </w:r>
      <w:r>
        <w:t xml:space="preserve">. </w:t>
      </w:r>
      <w:r w:rsidR="00D847A0">
        <w:t>Unfortunately, this fails to account for economies of scale. Since local public services exhibit economies of scale,</w:t>
      </w:r>
      <w:r w:rsidR="00D847A0">
        <w:rPr>
          <w:rStyle w:val="FootnoteReference"/>
        </w:rPr>
        <w:footnoteReference w:id="18"/>
      </w:r>
      <w:r w:rsidR="00D847A0">
        <w:t xml:space="preserve"> late users who are charged the average price are penalized at the expense of early users (more on this in the public choice section to follow). However, a mature community like Mountain View has a way around this difficulty. Since the city is fully zoned, officials know the ultimate number of dwelling units in the community by type. Since the community boundaries are also known, staff can estima</w:t>
      </w:r>
      <w:r w:rsidR="00FA1582">
        <w:t xml:space="preserve">te the amount of </w:t>
      </w:r>
      <w:r w:rsidR="00D847A0">
        <w:t xml:space="preserve">park </w:t>
      </w:r>
      <w:r w:rsidR="00FA1582">
        <w:t>land</w:t>
      </w:r>
      <w:r w:rsidR="00D847A0">
        <w:t xml:space="preserve"> required by current zoning</w:t>
      </w:r>
      <w:r w:rsidR="00FA1582">
        <w:t xml:space="preserve"> standards and can compute its value when fully developed</w:t>
      </w:r>
      <w:r w:rsidR="00D847A0">
        <w:t xml:space="preserve">. </w:t>
      </w:r>
      <w:r w:rsidR="00FA1582">
        <w:t>In this case each new development can pay its actual share towards the final total as long as zoning does not change. Changes to value due to inflation or land demand can be adjusted using current values at the time of development. Zoning changes that affect the number of dwelling units or changes in City boundaries require a recalculation of fees based on the new data generated. While this does not overcome the problem of the “right” amount of park land per one thousand people, it does prevent late comers from paying more than their proportionate share of improvements.</w:t>
      </w:r>
      <w:r w:rsidR="005A6776">
        <w:t xml:space="preserve"> It is likely that different communities would continue to provide different amounts of park land and some competition would take place as individual home buyers sought the mix of amenities best suited to their personal preferences. But, we will have more to say about this in the final section.</w:t>
      </w:r>
    </w:p>
    <w:p w:rsidR="00FA1582" w:rsidRDefault="00FA1582" w:rsidP="005A7DC9">
      <w:pPr>
        <w:spacing w:line="480" w:lineRule="auto"/>
      </w:pPr>
    </w:p>
    <w:p w:rsidR="00FA1582" w:rsidRDefault="00FA1582" w:rsidP="005A7DC9">
      <w:pPr>
        <w:spacing w:line="480" w:lineRule="auto"/>
      </w:pPr>
      <w:r>
        <w:t>Park fees suffer on three grounds. First what is the “right”</w:t>
      </w:r>
      <w:r w:rsidR="005A6776">
        <w:t xml:space="preserve"> number?</w:t>
      </w:r>
      <w:r>
        <w:t xml:space="preserve"> Second, are parks really public goods or just “lumpy” private goods that could better be provided by private parties in the market place</w:t>
      </w:r>
      <w:r w:rsidR="005A6776">
        <w:t xml:space="preserve"> if cities simply zoned them</w:t>
      </w:r>
      <w:r>
        <w:t xml:space="preserve">? Finally, </w:t>
      </w:r>
      <w:r w:rsidR="005A6776">
        <w:t>if local government chooses to provide parks, why not use marginal cost pricing when determining a communities actual use of park land rather than average cost pricing?</w:t>
      </w:r>
    </w:p>
    <w:p w:rsidR="00A97374" w:rsidRDefault="00A97374" w:rsidP="005A7DC9">
      <w:pPr>
        <w:spacing w:line="480" w:lineRule="auto"/>
      </w:pPr>
    </w:p>
    <w:p w:rsidR="00FA1582" w:rsidRDefault="005A6776" w:rsidP="005A6776">
      <w:pPr>
        <w:spacing w:line="480" w:lineRule="auto"/>
        <w:jc w:val="center"/>
      </w:pPr>
      <w:r>
        <w:t xml:space="preserve">V. Public Choice </w:t>
      </w:r>
      <w:r w:rsidR="00A97374">
        <w:t>and</w:t>
      </w:r>
      <w:r w:rsidR="00FA1582">
        <w:t xml:space="preserve"> Park Fees</w:t>
      </w:r>
    </w:p>
    <w:p w:rsidR="00FA1582" w:rsidRDefault="005A6776" w:rsidP="005A6776">
      <w:pPr>
        <w:spacing w:line="480" w:lineRule="auto"/>
      </w:pPr>
      <w:r>
        <w:t xml:space="preserve">Are there reasons that politicians, bureaucrats, and current residents might choose to set fees including park fees higher than the need to be to cover there costs? Political actors respond to incentives just like market participants. By understanding </w:t>
      </w:r>
      <w:r w:rsidR="0013775B">
        <w:t>the choic</w:t>
      </w:r>
      <w:r>
        <w:t>e</w:t>
      </w:r>
      <w:r w:rsidR="0013775B">
        <w:t>s</w:t>
      </w:r>
      <w:r>
        <w:t xml:space="preserve"> these public actors make and the incentives they face, we can make predictions about their behavior.</w:t>
      </w:r>
      <w:r w:rsidR="0013775B">
        <w:rPr>
          <w:rStyle w:val="FootnoteReference"/>
        </w:rPr>
        <w:footnoteReference w:id="19"/>
      </w:r>
      <w:r w:rsidR="0013775B">
        <w:t xml:space="preserve"> </w:t>
      </w:r>
      <w:r>
        <w:t>Let us look at each group of political pla</w:t>
      </w:r>
      <w:r w:rsidR="0013775B">
        <w:t>yers</w:t>
      </w:r>
      <w:r>
        <w:t xml:space="preserve"> and their incentives to answer this question.</w:t>
      </w:r>
    </w:p>
    <w:p w:rsidR="005A6776" w:rsidRDefault="005A6776" w:rsidP="005A6776">
      <w:pPr>
        <w:spacing w:line="480" w:lineRule="auto"/>
      </w:pPr>
    </w:p>
    <w:p w:rsidR="005A6776" w:rsidRDefault="0013775B" w:rsidP="005A6776">
      <w:pPr>
        <w:spacing w:line="480" w:lineRule="auto"/>
      </w:pPr>
      <w:r>
        <w:t xml:space="preserve">The first goal of the politician is to be elected. Without position, the politician can have no impact. In the case of local fees the politicians’ constituency is current voters. </w:t>
      </w:r>
      <w:r w:rsidR="00D72CC7">
        <w:t>Future voters are not part of the process. This tends to make politicians focus on short-term policies at the expense of long term gains that translate into benefits for current residents at the expense of future residents. One aspect of this is “fiscal zoning” that restricts residential development and attempts to limit or stop growth.</w:t>
      </w:r>
      <w:r w:rsidR="00D72CC7">
        <w:rPr>
          <w:rStyle w:val="FootnoteReference"/>
        </w:rPr>
        <w:footnoteReference w:id="20"/>
      </w:r>
      <w:r w:rsidR="00D72CC7">
        <w:t xml:space="preserve"> This</w:t>
      </w:r>
      <w:r w:rsidR="00465279">
        <w:t xml:space="preserve"> </w:t>
      </w:r>
      <w:r w:rsidR="00D72CC7">
        <w:t xml:space="preserve">is particularly true where politicians focus on current average cost like Cost of City Services </w:t>
      </w:r>
      <w:r w:rsidR="00576A13">
        <w:t xml:space="preserve">(COCS) </w:t>
      </w:r>
      <w:r w:rsidR="00D72CC7">
        <w:t xml:space="preserve">models </w:t>
      </w:r>
      <w:r w:rsidR="00465279">
        <w:t>that stress current cost without taking into account long-term benefits from increases in the tax base and sales tax, increases in employment, room for new and potentially more diverse residents and other secondary and tertiary effects.</w:t>
      </w:r>
      <w:r w:rsidR="00465279">
        <w:rPr>
          <w:rStyle w:val="FootnoteReference"/>
        </w:rPr>
        <w:footnoteReference w:id="21"/>
      </w:r>
      <w:r w:rsidR="00465279">
        <w:t xml:space="preserve"> One way to slow growth is through the imposition of in lieu fees that are higher than necessary to recoup marginal cost. Such a fee acts as a tax on development, raising price and reducing quantity consumed. While this tends to make all housing more expensive, it is good politics because it benefits current residents</w:t>
      </w:r>
      <w:r w:rsidR="009135EE">
        <w:t xml:space="preserve"> at the expense of non-voting future potential residents. These policies can be made to seem even more palatable when mixed with policies to provide subsidized low-cost housing through Below Market Residences (BMR) programs that also, in spite of their title, tend to reduce housing production and raise prices while still allowing residents feel good about providing some housing output.</w:t>
      </w:r>
      <w:r w:rsidR="009135EE">
        <w:rPr>
          <w:rStyle w:val="FootnoteReference"/>
        </w:rPr>
        <w:footnoteReference w:id="22"/>
      </w:r>
    </w:p>
    <w:p w:rsidR="009135EE" w:rsidRDefault="009135EE" w:rsidP="005A6776">
      <w:pPr>
        <w:spacing w:line="480" w:lineRule="auto"/>
      </w:pPr>
    </w:p>
    <w:p w:rsidR="009135EE" w:rsidRDefault="009135EE" w:rsidP="005A6776">
      <w:pPr>
        <w:spacing w:line="480" w:lineRule="auto"/>
      </w:pPr>
      <w:r>
        <w:t xml:space="preserve">Current residents may view higher exactions and fees as a worthy goal, also. Because most cities use average cost pricing, early residents tend to pay less than latecomers. These latecomers subsidize the early residents. </w:t>
      </w:r>
      <w:r w:rsidR="00576A13">
        <w:t>This can be particularly true where current residents seek to limit the planned development of high density residential development that is perceived to be high cost through COSC studies. Additionally, current residents may see high fees as a mechanism for increasing the cost of new housing. If new housing is a substitute for existing housing, then an increase in its price will tend to increase the demand for its substitute, existing housing. This increase demand can be thought o f as a leftward movement along the supply curve for exiting housing (see Graph 1) in a static analysis</w:t>
      </w:r>
      <w:r w:rsidR="00576A13">
        <w:rPr>
          <w:rStyle w:val="FootnoteReference"/>
        </w:rPr>
        <w:footnoteReference w:id="23"/>
      </w:r>
      <w:r w:rsidR="00576A13">
        <w:t xml:space="preserve"> or an upward shift in the imputed rent  of an investment flow diagram (see Graph 2). In either case existing residents gain from an increase in the value of their house as </w:t>
      </w:r>
      <w:proofErr w:type="gramStart"/>
      <w:r w:rsidR="00576A13">
        <w:t>an a</w:t>
      </w:r>
      <w:proofErr w:type="gramEnd"/>
      <w:r w:rsidR="00576A13">
        <w:t xml:space="preserve"> consumption good or as an asset. </w:t>
      </w:r>
    </w:p>
    <w:p w:rsidR="00576A13" w:rsidRDefault="00576A13" w:rsidP="005A6776">
      <w:pPr>
        <w:spacing w:line="480" w:lineRule="auto"/>
      </w:pPr>
    </w:p>
    <w:p w:rsidR="00576A13" w:rsidRDefault="00576A13" w:rsidP="005A6776">
      <w:pPr>
        <w:spacing w:line="480" w:lineRule="auto"/>
      </w:pPr>
      <w:r>
        <w:t xml:space="preserve">Bureaucrats also have incentives to pass higher fees than would be required to cover </w:t>
      </w:r>
      <w:r w:rsidR="00831B42">
        <w:t xml:space="preserve">marginal costs. High fees bring more money and prestige to the planning department which, in turn, can lead to more staff, a larger department, and more influence and compensation for the planning director, as well as greater future employment opportunities. The ability to adjust fees provides more power to those who control the fee setting process and creates the potential to extract other resources from developers during the review process. </w:t>
      </w:r>
    </w:p>
    <w:p w:rsidR="00A97374" w:rsidRDefault="00A97374" w:rsidP="005A6776">
      <w:pPr>
        <w:spacing w:line="480" w:lineRule="auto"/>
      </w:pPr>
    </w:p>
    <w:p w:rsidR="00A97374" w:rsidRDefault="00A97374" w:rsidP="005A6776">
      <w:pPr>
        <w:spacing w:line="480" w:lineRule="auto"/>
      </w:pPr>
      <w:r>
        <w:t xml:space="preserve">Politicians, current residents, and bureaucrats can find themselves aligned in an iron triangle of common interests that push fees unnecessarily high and lead to outcomes that reduce housing and undermine the possibility of an efficient </w:t>
      </w:r>
      <w:proofErr w:type="spellStart"/>
      <w:r>
        <w:t>Pigovian</w:t>
      </w:r>
      <w:proofErr w:type="spellEnd"/>
      <w:r>
        <w:t xml:space="preserve"> solution to the provision of amenities in the community. The question now is what other choices </w:t>
      </w:r>
      <w:proofErr w:type="gramStart"/>
      <w:r>
        <w:t>do communities</w:t>
      </w:r>
      <w:proofErr w:type="gramEnd"/>
      <w:r>
        <w:t xml:space="preserve"> like Mountain View have. Let us turn to Section V.</w:t>
      </w:r>
    </w:p>
    <w:p w:rsidR="00A97374" w:rsidRDefault="00A97374" w:rsidP="005A6776">
      <w:pPr>
        <w:spacing w:line="480" w:lineRule="auto"/>
      </w:pPr>
    </w:p>
    <w:p w:rsidR="00A97374" w:rsidRDefault="00A97374" w:rsidP="00A97374">
      <w:pPr>
        <w:spacing w:line="480" w:lineRule="auto"/>
        <w:jc w:val="center"/>
      </w:pPr>
      <w:r>
        <w:t>VI. More Efficient Outcomes</w:t>
      </w:r>
    </w:p>
    <w:p w:rsidR="00A97374" w:rsidRPr="00FE17A3" w:rsidRDefault="00A97374" w:rsidP="00A97374">
      <w:pPr>
        <w:spacing w:line="480" w:lineRule="auto"/>
      </w:pPr>
      <w:r>
        <w:t>More to come…</w:t>
      </w:r>
    </w:p>
    <w:sectPr w:rsidR="00A97374" w:rsidRPr="00FE17A3" w:rsidSect="005167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CEF" w:rsidRDefault="00542CEF" w:rsidP="005A7DC9">
      <w:r>
        <w:separator/>
      </w:r>
    </w:p>
  </w:endnote>
  <w:endnote w:type="continuationSeparator" w:id="0">
    <w:p w:rsidR="00542CEF" w:rsidRDefault="00542CEF" w:rsidP="005A7D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CEF" w:rsidRDefault="00542CEF" w:rsidP="005A7DC9">
      <w:r>
        <w:separator/>
      </w:r>
    </w:p>
  </w:footnote>
  <w:footnote w:type="continuationSeparator" w:id="0">
    <w:p w:rsidR="00542CEF" w:rsidRDefault="00542CEF" w:rsidP="005A7DC9">
      <w:r>
        <w:continuationSeparator/>
      </w:r>
    </w:p>
  </w:footnote>
  <w:footnote w:id="1">
    <w:p w:rsidR="009135EE" w:rsidRDefault="009135EE">
      <w:pPr>
        <w:pStyle w:val="FootnoteText"/>
      </w:pPr>
      <w:r>
        <w:rPr>
          <w:rStyle w:val="FootnoteReference"/>
        </w:rPr>
        <w:footnoteRef/>
      </w:r>
      <w:r>
        <w:t xml:space="preserve"> </w:t>
      </w:r>
    </w:p>
  </w:footnote>
  <w:footnote w:id="2">
    <w:p w:rsidR="009135EE" w:rsidRDefault="009135EE">
      <w:pPr>
        <w:pStyle w:val="FootnoteText"/>
      </w:pPr>
      <w:r>
        <w:rPr>
          <w:rStyle w:val="FootnoteReference"/>
        </w:rPr>
        <w:footnoteRef/>
      </w:r>
      <w:r>
        <w:t xml:space="preserve"> </w:t>
      </w:r>
    </w:p>
  </w:footnote>
  <w:footnote w:id="3">
    <w:p w:rsidR="009135EE" w:rsidRDefault="009135EE">
      <w:pPr>
        <w:pStyle w:val="FootnoteText"/>
      </w:pPr>
      <w:r>
        <w:rPr>
          <w:rStyle w:val="FootnoteReference"/>
        </w:rPr>
        <w:footnoteRef/>
      </w:r>
      <w:r>
        <w:t xml:space="preserve"> </w:t>
      </w:r>
    </w:p>
  </w:footnote>
  <w:footnote w:id="4">
    <w:p w:rsidR="009135EE" w:rsidRDefault="009135EE">
      <w:pPr>
        <w:pStyle w:val="FootnoteText"/>
      </w:pPr>
      <w:r>
        <w:rPr>
          <w:rStyle w:val="FootnoteReference"/>
        </w:rPr>
        <w:footnoteRef/>
      </w:r>
      <w:r>
        <w:t xml:space="preserve"> </w:t>
      </w:r>
    </w:p>
  </w:footnote>
  <w:footnote w:id="5">
    <w:p w:rsidR="009135EE" w:rsidRDefault="009135EE">
      <w:pPr>
        <w:pStyle w:val="FootnoteText"/>
      </w:pPr>
      <w:r>
        <w:rPr>
          <w:rStyle w:val="FootnoteReference"/>
        </w:rPr>
        <w:footnoteRef/>
      </w:r>
      <w:r>
        <w:t xml:space="preserve"> </w:t>
      </w:r>
    </w:p>
  </w:footnote>
  <w:footnote w:id="6">
    <w:p w:rsidR="009135EE" w:rsidRDefault="009135EE">
      <w:pPr>
        <w:pStyle w:val="FootnoteText"/>
      </w:pPr>
      <w:r>
        <w:rPr>
          <w:rStyle w:val="FootnoteReference"/>
        </w:rPr>
        <w:footnoteRef/>
      </w:r>
      <w:r>
        <w:t xml:space="preserve"> </w:t>
      </w:r>
    </w:p>
  </w:footnote>
  <w:footnote w:id="7">
    <w:p w:rsidR="009135EE" w:rsidRDefault="009135EE">
      <w:pPr>
        <w:pStyle w:val="FootnoteText"/>
      </w:pPr>
      <w:r>
        <w:rPr>
          <w:rStyle w:val="FootnoteReference"/>
        </w:rPr>
        <w:footnoteRef/>
      </w:r>
      <w:r>
        <w:t xml:space="preserve"> </w:t>
      </w:r>
    </w:p>
  </w:footnote>
  <w:footnote w:id="8">
    <w:p w:rsidR="009135EE" w:rsidRDefault="009135EE">
      <w:pPr>
        <w:pStyle w:val="FootnoteText"/>
      </w:pPr>
      <w:r>
        <w:rPr>
          <w:rStyle w:val="FootnoteReference"/>
        </w:rPr>
        <w:footnoteRef/>
      </w:r>
      <w:r>
        <w:t xml:space="preserve"> </w:t>
      </w:r>
    </w:p>
  </w:footnote>
  <w:footnote w:id="9">
    <w:p w:rsidR="009135EE" w:rsidRDefault="009135EE">
      <w:pPr>
        <w:pStyle w:val="FootnoteText"/>
      </w:pPr>
      <w:r>
        <w:rPr>
          <w:rStyle w:val="FootnoteReference"/>
        </w:rPr>
        <w:footnoteRef/>
      </w:r>
      <w:r>
        <w:t xml:space="preserve"> </w:t>
      </w:r>
    </w:p>
  </w:footnote>
  <w:footnote w:id="10">
    <w:p w:rsidR="009135EE" w:rsidRDefault="009135EE">
      <w:pPr>
        <w:pStyle w:val="FootnoteText"/>
      </w:pPr>
      <w:r>
        <w:rPr>
          <w:rStyle w:val="FootnoteReference"/>
        </w:rPr>
        <w:footnoteRef/>
      </w:r>
      <w:r>
        <w:t xml:space="preserve"> </w:t>
      </w:r>
    </w:p>
  </w:footnote>
  <w:footnote w:id="11">
    <w:p w:rsidR="009135EE" w:rsidRDefault="009135EE">
      <w:pPr>
        <w:pStyle w:val="FootnoteText"/>
      </w:pPr>
      <w:r>
        <w:rPr>
          <w:rStyle w:val="FootnoteReference"/>
        </w:rPr>
        <w:footnoteRef/>
      </w:r>
      <w:r>
        <w:t xml:space="preserve"> </w:t>
      </w:r>
    </w:p>
  </w:footnote>
  <w:footnote w:id="12">
    <w:p w:rsidR="009135EE" w:rsidRDefault="009135EE">
      <w:pPr>
        <w:pStyle w:val="FootnoteText"/>
      </w:pPr>
      <w:r>
        <w:rPr>
          <w:rStyle w:val="FootnoteReference"/>
        </w:rPr>
        <w:footnoteRef/>
      </w:r>
      <w:r>
        <w:t xml:space="preserve"> </w:t>
      </w:r>
    </w:p>
  </w:footnote>
  <w:footnote w:id="13">
    <w:p w:rsidR="009135EE" w:rsidRDefault="009135EE">
      <w:pPr>
        <w:pStyle w:val="FootnoteText"/>
      </w:pPr>
      <w:r>
        <w:rPr>
          <w:rStyle w:val="FootnoteReference"/>
        </w:rPr>
        <w:footnoteRef/>
      </w:r>
      <w:r>
        <w:t xml:space="preserve"> Memorandum, City of Mountain View, 10/19/2006, p.3</w:t>
      </w:r>
    </w:p>
  </w:footnote>
  <w:footnote w:id="14">
    <w:p w:rsidR="009135EE" w:rsidRDefault="009135EE">
      <w:pPr>
        <w:pStyle w:val="FootnoteText"/>
      </w:pPr>
      <w:r>
        <w:rPr>
          <w:rStyle w:val="FootnoteReference"/>
        </w:rPr>
        <w:footnoteRef/>
      </w:r>
      <w:r>
        <w:t xml:space="preserve"> “Competition as A Discovery Procedure” Hayek</w:t>
      </w:r>
    </w:p>
  </w:footnote>
  <w:footnote w:id="15">
    <w:p w:rsidR="009135EE" w:rsidRDefault="009135EE">
      <w:pPr>
        <w:pStyle w:val="FootnoteText"/>
      </w:pPr>
      <w:r>
        <w:rPr>
          <w:rStyle w:val="FootnoteReference"/>
        </w:rPr>
        <w:footnoteRef/>
      </w:r>
      <w:r>
        <w:t xml:space="preserve"> Public good reference</w:t>
      </w:r>
    </w:p>
  </w:footnote>
  <w:footnote w:id="16">
    <w:p w:rsidR="009135EE" w:rsidRDefault="009135EE">
      <w:pPr>
        <w:pStyle w:val="FootnoteText"/>
      </w:pPr>
      <w:r>
        <w:rPr>
          <w:rStyle w:val="FootnoteReference"/>
        </w:rPr>
        <w:footnoteRef/>
      </w:r>
      <w:r>
        <w:t xml:space="preserve"> City of Mountain View, Chapter 41, Park Land Dedication or Fees in Lieu Thereof, 41.11</w:t>
      </w:r>
    </w:p>
  </w:footnote>
  <w:footnote w:id="17">
    <w:p w:rsidR="009135EE" w:rsidRDefault="009135EE">
      <w:pPr>
        <w:pStyle w:val="FootnoteText"/>
      </w:pPr>
      <w:r>
        <w:rPr>
          <w:rStyle w:val="FootnoteReference"/>
        </w:rPr>
        <w:footnoteRef/>
      </w:r>
      <w:r>
        <w:t xml:space="preserve"> HUD reference</w:t>
      </w:r>
    </w:p>
  </w:footnote>
  <w:footnote w:id="18">
    <w:p w:rsidR="009135EE" w:rsidRDefault="009135EE">
      <w:pPr>
        <w:pStyle w:val="FootnoteText"/>
      </w:pPr>
      <w:r>
        <w:rPr>
          <w:rStyle w:val="FootnoteReference"/>
        </w:rPr>
        <w:footnoteRef/>
      </w:r>
      <w:r>
        <w:t xml:space="preserve"> </w:t>
      </w:r>
      <w:proofErr w:type="spellStart"/>
      <w:r>
        <w:t>Deller</w:t>
      </w:r>
      <w:proofErr w:type="spellEnd"/>
      <w:r>
        <w:t>, S., The Limitations of Cost of Community Services Study, 2/99</w:t>
      </w:r>
    </w:p>
  </w:footnote>
  <w:footnote w:id="19">
    <w:p w:rsidR="009135EE" w:rsidRDefault="009135EE">
      <w:pPr>
        <w:pStyle w:val="FootnoteText"/>
      </w:pPr>
      <w:r>
        <w:rPr>
          <w:rStyle w:val="FootnoteReference"/>
        </w:rPr>
        <w:footnoteRef/>
      </w:r>
      <w:r>
        <w:t xml:space="preserve"> For an introduction to public choice economics, see William C. Mitchell and Randy T. Simmons, Beyond Politics: Markets, Welfare, and the Failure of the Bureaucracy, 1994; Gordon </w:t>
      </w:r>
      <w:proofErr w:type="spellStart"/>
      <w:r>
        <w:t>Tullock</w:t>
      </w:r>
      <w:proofErr w:type="spellEnd"/>
      <w:r>
        <w:t xml:space="preserve">, Arthur </w:t>
      </w:r>
      <w:proofErr w:type="spellStart"/>
      <w:r>
        <w:t>Seldon</w:t>
      </w:r>
      <w:proofErr w:type="spellEnd"/>
      <w:r>
        <w:t xml:space="preserve">, and Gordon L Brady, </w:t>
      </w:r>
      <w:proofErr w:type="spellStart"/>
      <w:r>
        <w:t>Goernment</w:t>
      </w:r>
      <w:proofErr w:type="spellEnd"/>
      <w:r>
        <w:t xml:space="preserve"> Failure: A Primer in Public Choice, 2003</w:t>
      </w:r>
    </w:p>
  </w:footnote>
  <w:footnote w:id="20">
    <w:p w:rsidR="009135EE" w:rsidRDefault="009135EE">
      <w:pPr>
        <w:pStyle w:val="FootnoteText"/>
      </w:pPr>
      <w:r>
        <w:rPr>
          <w:rStyle w:val="FootnoteReference"/>
        </w:rPr>
        <w:footnoteRef/>
      </w:r>
      <w:r>
        <w:t xml:space="preserve"> See Means and Estill </w:t>
      </w:r>
      <w:r w:rsidRPr="00D72CC7">
        <w:t xml:space="preserve">- </w:t>
      </w:r>
      <w:r w:rsidRPr="00D72CC7">
        <w:rPr>
          <w:color w:val="222222"/>
        </w:rPr>
        <w:t>“Tax Revenue and Land Use: How to Price Public Services</w:t>
      </w:r>
      <w:r>
        <w:rPr>
          <w:color w:val="222222"/>
        </w:rPr>
        <w:t>,</w:t>
      </w:r>
      <w:r w:rsidRPr="00D72CC7">
        <w:rPr>
          <w:color w:val="222222"/>
        </w:rPr>
        <w:t>”</w:t>
      </w:r>
      <w:r>
        <w:rPr>
          <w:color w:val="222222"/>
        </w:rPr>
        <w:t>2011</w:t>
      </w:r>
    </w:p>
  </w:footnote>
  <w:footnote w:id="21">
    <w:p w:rsidR="009135EE" w:rsidRDefault="009135EE">
      <w:pPr>
        <w:pStyle w:val="FootnoteText"/>
      </w:pPr>
      <w:r>
        <w:rPr>
          <w:rStyle w:val="FootnoteReference"/>
        </w:rPr>
        <w:footnoteRef/>
      </w:r>
      <w:r>
        <w:t xml:space="preserve"> </w:t>
      </w:r>
      <w:proofErr w:type="spellStart"/>
      <w:r>
        <w:t>Kolo</w:t>
      </w:r>
      <w:proofErr w:type="spellEnd"/>
      <w:r>
        <w:t xml:space="preserve"> and Dicker, at 201</w:t>
      </w:r>
    </w:p>
  </w:footnote>
  <w:footnote w:id="22">
    <w:p w:rsidR="009135EE" w:rsidRDefault="009135EE">
      <w:pPr>
        <w:pStyle w:val="FootnoteText"/>
      </w:pPr>
      <w:r>
        <w:rPr>
          <w:rStyle w:val="FootnoteReference"/>
        </w:rPr>
        <w:footnoteRef/>
      </w:r>
      <w:r>
        <w:t xml:space="preserve"> Means et al.,</w:t>
      </w:r>
      <w:r w:rsidRPr="009135EE">
        <w:rPr>
          <w:rFonts w:ascii="Verdana" w:hAnsi="Verdana"/>
          <w:color w:val="222222"/>
        </w:rPr>
        <w:t xml:space="preserve"> </w:t>
      </w:r>
      <w:r w:rsidRPr="009135EE">
        <w:rPr>
          <w:color w:val="222222"/>
        </w:rPr>
        <w:t>"Below-Market Housing Mandates as Takings: Measuring their Impact",</w:t>
      </w:r>
    </w:p>
  </w:footnote>
  <w:footnote w:id="23">
    <w:p w:rsidR="00576A13" w:rsidRDefault="00576A13">
      <w:pPr>
        <w:pStyle w:val="FootnoteText"/>
      </w:pPr>
      <w:r>
        <w:rPr>
          <w:rStyle w:val="FootnoteReference"/>
        </w:rPr>
        <w:footnoteRef/>
      </w:r>
      <w:r>
        <w:t xml:space="preserve"> Estill et al., p. 22=23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986C65"/>
    <w:rsid w:val="00052C98"/>
    <w:rsid w:val="0013775B"/>
    <w:rsid w:val="001A658A"/>
    <w:rsid w:val="001D5098"/>
    <w:rsid w:val="0030635E"/>
    <w:rsid w:val="00362D71"/>
    <w:rsid w:val="003E34C3"/>
    <w:rsid w:val="00465279"/>
    <w:rsid w:val="004C5BED"/>
    <w:rsid w:val="004C6BF2"/>
    <w:rsid w:val="004D6591"/>
    <w:rsid w:val="0051676F"/>
    <w:rsid w:val="00542CEF"/>
    <w:rsid w:val="00576A13"/>
    <w:rsid w:val="00577D1E"/>
    <w:rsid w:val="00587F8D"/>
    <w:rsid w:val="005A6776"/>
    <w:rsid w:val="005A7DC9"/>
    <w:rsid w:val="005B4AD5"/>
    <w:rsid w:val="005C38CD"/>
    <w:rsid w:val="00645D27"/>
    <w:rsid w:val="006B1FA0"/>
    <w:rsid w:val="00816A3C"/>
    <w:rsid w:val="00831B42"/>
    <w:rsid w:val="00865E41"/>
    <w:rsid w:val="008B7F22"/>
    <w:rsid w:val="009135EE"/>
    <w:rsid w:val="0091643F"/>
    <w:rsid w:val="00973F56"/>
    <w:rsid w:val="00986C65"/>
    <w:rsid w:val="009C0282"/>
    <w:rsid w:val="009C245F"/>
    <w:rsid w:val="00A23AE9"/>
    <w:rsid w:val="00A97374"/>
    <w:rsid w:val="00B272DF"/>
    <w:rsid w:val="00BC25E5"/>
    <w:rsid w:val="00BE780C"/>
    <w:rsid w:val="00BF48BA"/>
    <w:rsid w:val="00C410F3"/>
    <w:rsid w:val="00CF1915"/>
    <w:rsid w:val="00D72CC7"/>
    <w:rsid w:val="00D7515D"/>
    <w:rsid w:val="00D847A0"/>
    <w:rsid w:val="00D942F3"/>
    <w:rsid w:val="00DA5DA5"/>
    <w:rsid w:val="00E81218"/>
    <w:rsid w:val="00EB4424"/>
    <w:rsid w:val="00EE0595"/>
    <w:rsid w:val="00F004F0"/>
    <w:rsid w:val="00FA1582"/>
    <w:rsid w:val="00FC79E7"/>
    <w:rsid w:val="00FD7290"/>
    <w:rsid w:val="00FE1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E7"/>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qFormat/>
    <w:rsid w:val="001D5098"/>
    <w:pPr>
      <w:keepNext/>
      <w:spacing w:line="360" w:lineRule="auto"/>
      <w:outlineLvl w:val="0"/>
    </w:pPr>
    <w:rPr>
      <w:rFonts w:ascii="Times New Roman" w:eastAsia="Times New Roman" w:hAnsi="Times New Roman"/>
      <w:iCs/>
      <w:sz w:val="32"/>
    </w:rPr>
  </w:style>
  <w:style w:type="paragraph" w:styleId="Heading9">
    <w:name w:val="heading 9"/>
    <w:basedOn w:val="Normal"/>
    <w:next w:val="Normal"/>
    <w:link w:val="Heading9Char"/>
    <w:uiPriority w:val="9"/>
    <w:semiHidden/>
    <w:unhideWhenUsed/>
    <w:qFormat/>
    <w:rsid w:val="00587F8D"/>
    <w:pPr>
      <w:keepNext/>
      <w:keepLines/>
      <w:spacing w:before="20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098"/>
    <w:rPr>
      <w:rFonts w:ascii="Times New Roman" w:eastAsia="Times New Roman" w:hAnsi="Times New Roman" w:cs="Times New Roman"/>
      <w:iCs/>
      <w:sz w:val="32"/>
      <w:szCs w:val="24"/>
    </w:rPr>
  </w:style>
  <w:style w:type="character" w:customStyle="1" w:styleId="Heading9Char">
    <w:name w:val="Heading 9 Char"/>
    <w:basedOn w:val="DefaultParagraphFont"/>
    <w:link w:val="Heading9"/>
    <w:uiPriority w:val="9"/>
    <w:semiHidden/>
    <w:rsid w:val="00587F8D"/>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1D5098"/>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1D5098"/>
    <w:rPr>
      <w:sz w:val="20"/>
      <w:szCs w:val="20"/>
    </w:rPr>
  </w:style>
  <w:style w:type="paragraph" w:styleId="Title">
    <w:name w:val="Title"/>
    <w:basedOn w:val="Normal"/>
    <w:link w:val="TitleChar"/>
    <w:qFormat/>
    <w:rsid w:val="001D5098"/>
    <w:pPr>
      <w:jc w:val="center"/>
    </w:pPr>
    <w:rPr>
      <w:rFonts w:ascii="Times New Roman" w:eastAsia="Times New Roman" w:hAnsi="Times New Roman"/>
      <w:b/>
      <w:sz w:val="32"/>
    </w:rPr>
  </w:style>
  <w:style w:type="character" w:customStyle="1" w:styleId="TitleChar">
    <w:name w:val="Title Char"/>
    <w:basedOn w:val="DefaultParagraphFont"/>
    <w:link w:val="Title"/>
    <w:rsid w:val="001D5098"/>
    <w:rPr>
      <w:rFonts w:ascii="Times New Roman" w:eastAsia="Times New Roman" w:hAnsi="Times New Roman" w:cs="Times New Roman"/>
      <w:b/>
      <w:sz w:val="32"/>
      <w:szCs w:val="24"/>
    </w:rPr>
  </w:style>
  <w:style w:type="character" w:styleId="FootnoteReference">
    <w:name w:val="footnote reference"/>
    <w:basedOn w:val="DefaultParagraphFont"/>
    <w:uiPriority w:val="99"/>
    <w:semiHidden/>
    <w:unhideWhenUsed/>
    <w:rsid w:val="005A7DC9"/>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689D9-FF65-43D5-8174-D4A8CF51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13</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Estill</dc:creator>
  <cp:lastModifiedBy>John Estill</cp:lastModifiedBy>
  <cp:revision>2</cp:revision>
  <dcterms:created xsi:type="dcterms:W3CDTF">2011-02-21T20:20:00Z</dcterms:created>
  <dcterms:modified xsi:type="dcterms:W3CDTF">2011-02-22T03:27:00Z</dcterms:modified>
</cp:coreProperties>
</file>