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90AD" w14:textId="04FDFC41" w:rsidR="008709C7" w:rsidRDefault="00FE784F">
      <w:pPr>
        <w:pStyle w:val="Title"/>
        <w:spacing w:line="276" w:lineRule="auto"/>
      </w:pPr>
      <w:r>
        <w:t xml:space="preserve">SJSU Charles W. Davidson College of Engineering Student Conference </w:t>
      </w:r>
      <w:r w:rsidR="0075083A">
        <w:t>Support</w:t>
      </w:r>
      <w:r>
        <w:t xml:space="preserve"> Grants</w:t>
      </w:r>
    </w:p>
    <w:p w14:paraId="43F92453" w14:textId="77777777" w:rsidR="008709C7" w:rsidRDefault="008709C7">
      <w:pPr>
        <w:pStyle w:val="BodyText"/>
        <w:spacing w:before="8"/>
        <w:rPr>
          <w:sz w:val="27"/>
        </w:rPr>
      </w:pPr>
    </w:p>
    <w:p w14:paraId="47F35826" w14:textId="0B625602" w:rsidR="008709C7" w:rsidRDefault="00FE784F">
      <w:pPr>
        <w:pStyle w:val="BodyText"/>
        <w:spacing w:line="290" w:lineRule="auto"/>
        <w:ind w:left="100" w:right="78"/>
      </w:pPr>
      <w:r>
        <w:rPr>
          <w:w w:val="105"/>
        </w:rPr>
        <w:t>The Davidson College of Engineering (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 xml:space="preserve">) will offer </w:t>
      </w:r>
      <w:r w:rsidR="006448D1">
        <w:rPr>
          <w:w w:val="105"/>
        </w:rPr>
        <w:t xml:space="preserve">a </w:t>
      </w:r>
      <w:r>
        <w:rPr>
          <w:w w:val="105"/>
        </w:rPr>
        <w:t xml:space="preserve">limited number of </w:t>
      </w:r>
      <w:r>
        <w:rPr>
          <w:b/>
          <w:w w:val="105"/>
        </w:rPr>
        <w:t>Davidson Student Conference</w:t>
      </w:r>
      <w:r>
        <w:rPr>
          <w:b/>
          <w:spacing w:val="-4"/>
          <w:w w:val="105"/>
        </w:rPr>
        <w:t xml:space="preserve"> </w:t>
      </w:r>
      <w:r w:rsidR="0075083A">
        <w:rPr>
          <w:b/>
          <w:w w:val="105"/>
        </w:rPr>
        <w:t>Support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Grants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student</w:t>
      </w:r>
      <w:r w:rsidR="00690A5B">
        <w:rPr>
          <w:w w:val="105"/>
        </w:rPr>
        <w:t>s</w:t>
      </w:r>
      <w:r>
        <w:rPr>
          <w:spacing w:val="-4"/>
          <w:w w:val="105"/>
        </w:rPr>
        <w:t xml:space="preserve"> </w:t>
      </w:r>
      <w:r w:rsidR="00690A5B">
        <w:rPr>
          <w:w w:val="105"/>
        </w:rPr>
        <w:t xml:space="preserve">as they </w:t>
      </w:r>
      <w:r>
        <w:rPr>
          <w:w w:val="105"/>
        </w:rPr>
        <w:t>present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accepted</w:t>
      </w:r>
      <w:r>
        <w:rPr>
          <w:spacing w:val="-2"/>
          <w:w w:val="105"/>
        </w:rPr>
        <w:t xml:space="preserve"> </w:t>
      </w:r>
      <w:r>
        <w:rPr>
          <w:w w:val="105"/>
        </w:rPr>
        <w:t>paper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well- recognized conference. The grant amount, eligibility conditions, and other relevant information are provided</w:t>
      </w:r>
      <w:r>
        <w:rPr>
          <w:spacing w:val="5"/>
          <w:w w:val="105"/>
        </w:rPr>
        <w:t xml:space="preserve"> </w:t>
      </w:r>
      <w:r>
        <w:rPr>
          <w:w w:val="105"/>
        </w:rPr>
        <w:t>below.</w:t>
      </w:r>
    </w:p>
    <w:p w14:paraId="5D897508" w14:textId="77777777" w:rsidR="008709C7" w:rsidRDefault="008709C7">
      <w:pPr>
        <w:pStyle w:val="BodyText"/>
        <w:spacing w:before="10"/>
        <w:rPr>
          <w:sz w:val="24"/>
        </w:rPr>
      </w:pPr>
    </w:p>
    <w:p w14:paraId="7D5B9BD4" w14:textId="79CC49E9" w:rsidR="008709C7" w:rsidRDefault="00FE784F">
      <w:pPr>
        <w:pStyle w:val="BodyText"/>
        <w:spacing w:line="290" w:lineRule="auto"/>
        <w:ind w:left="820" w:right="78" w:hanging="720"/>
      </w:pPr>
      <w:r>
        <w:rPr>
          <w:b/>
          <w:w w:val="105"/>
          <w:u w:val="single"/>
        </w:rPr>
        <w:t>Grant Amount</w:t>
      </w:r>
      <w:r>
        <w:rPr>
          <w:b/>
          <w:w w:val="105"/>
        </w:rPr>
        <w:t xml:space="preserve">: </w:t>
      </w:r>
      <w:r>
        <w:rPr>
          <w:w w:val="105"/>
        </w:rPr>
        <w:t>Up to $</w:t>
      </w:r>
      <w:r w:rsidR="0089483D">
        <w:rPr>
          <w:w w:val="105"/>
        </w:rPr>
        <w:t>100</w:t>
      </w:r>
      <w:r w:rsidR="0075083A">
        <w:rPr>
          <w:w w:val="105"/>
        </w:rPr>
        <w:t>0</w:t>
      </w:r>
      <w:r>
        <w:rPr>
          <w:w w:val="105"/>
        </w:rPr>
        <w:t xml:space="preserve"> per faculty advisor</w:t>
      </w:r>
      <w:r w:rsidR="00690A5B">
        <w:rPr>
          <w:w w:val="105"/>
        </w:rPr>
        <w:t>,</w:t>
      </w:r>
      <w:r>
        <w:rPr>
          <w:w w:val="105"/>
        </w:rPr>
        <w:t xml:space="preserve"> per year</w:t>
      </w:r>
      <w:r w:rsidR="00690A5B">
        <w:rPr>
          <w:w w:val="105"/>
        </w:rPr>
        <w:t>,</w:t>
      </w:r>
      <w:r>
        <w:rPr>
          <w:w w:val="105"/>
        </w:rPr>
        <w:t xml:space="preserve"> to </w:t>
      </w:r>
      <w:r w:rsidR="0075083A">
        <w:rPr>
          <w:w w:val="105"/>
        </w:rPr>
        <w:t>support</w:t>
      </w:r>
      <w:r>
        <w:rPr>
          <w:w w:val="105"/>
        </w:rPr>
        <w:t xml:space="preserve"> a mentored student </w:t>
      </w:r>
      <w:r w:rsidR="00690A5B">
        <w:rPr>
          <w:w w:val="105"/>
        </w:rPr>
        <w:t xml:space="preserve">as they </w:t>
      </w:r>
      <w:r>
        <w:rPr>
          <w:w w:val="105"/>
        </w:rPr>
        <w:t>present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accepted</w:t>
      </w:r>
      <w:r>
        <w:rPr>
          <w:spacing w:val="-2"/>
          <w:w w:val="105"/>
        </w:rPr>
        <w:t xml:space="preserve"> </w:t>
      </w:r>
      <w:r>
        <w:rPr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w w:val="105"/>
        </w:rPr>
        <w:t>paper</w:t>
      </w:r>
      <w:r w:rsidR="0075083A">
        <w:rPr>
          <w:w w:val="105"/>
        </w:rPr>
        <w:t xml:space="preserve"> at a conference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up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$</w:t>
      </w:r>
      <w:r w:rsidR="0089483D">
        <w:rPr>
          <w:w w:val="105"/>
        </w:rPr>
        <w:t>100</w:t>
      </w:r>
      <w:r w:rsidR="0075083A">
        <w:rPr>
          <w:w w:val="105"/>
        </w:rPr>
        <w:t>0</w:t>
      </w:r>
      <w:r>
        <w:rPr>
          <w:spacing w:val="-2"/>
          <w:w w:val="105"/>
        </w:rPr>
        <w:t xml:space="preserve"> </w:t>
      </w:r>
      <w:r>
        <w:rPr>
          <w:w w:val="105"/>
        </w:rPr>
        <w:t>grant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be shared by </w:t>
      </w:r>
      <w:r w:rsidR="00C5141B">
        <w:rPr>
          <w:w w:val="105"/>
        </w:rPr>
        <w:t>two or more</w:t>
      </w:r>
      <w:r>
        <w:rPr>
          <w:w w:val="105"/>
        </w:rPr>
        <w:t xml:space="preserve"> students </w:t>
      </w:r>
      <w:r w:rsidR="0075083A">
        <w:rPr>
          <w:w w:val="105"/>
        </w:rPr>
        <w:t>supervised by the same faculty mentor</w:t>
      </w:r>
      <w:r w:rsidR="00690A5B">
        <w:rPr>
          <w:w w:val="105"/>
        </w:rPr>
        <w:t>,</w:t>
      </w:r>
      <w:r w:rsidR="0075083A">
        <w:rPr>
          <w:w w:val="105"/>
        </w:rPr>
        <w:t xml:space="preserve"> </w:t>
      </w:r>
      <w:r w:rsidR="00690A5B">
        <w:rPr>
          <w:w w:val="105"/>
        </w:rPr>
        <w:t xml:space="preserve">as they </w:t>
      </w:r>
      <w:r>
        <w:rPr>
          <w:w w:val="105"/>
        </w:rPr>
        <w:t>presen</w:t>
      </w:r>
      <w:r w:rsidR="0075083A">
        <w:rPr>
          <w:w w:val="105"/>
        </w:rPr>
        <w:t>t</w:t>
      </w:r>
      <w:r>
        <w:rPr>
          <w:w w:val="105"/>
        </w:rPr>
        <w:t xml:space="preserve"> different accepted papers at the </w:t>
      </w:r>
      <w:r>
        <w:rPr>
          <w:b/>
          <w:w w:val="105"/>
        </w:rPr>
        <w:t>same</w:t>
      </w:r>
      <w:r>
        <w:rPr>
          <w:b/>
          <w:spacing w:val="3"/>
          <w:w w:val="105"/>
        </w:rPr>
        <w:t xml:space="preserve"> </w:t>
      </w:r>
      <w:r>
        <w:rPr>
          <w:w w:val="105"/>
        </w:rPr>
        <w:t>conference.</w:t>
      </w:r>
    </w:p>
    <w:p w14:paraId="3E7611BF" w14:textId="77777777" w:rsidR="008709C7" w:rsidRDefault="008709C7">
      <w:pPr>
        <w:pStyle w:val="BodyText"/>
        <w:spacing w:before="9"/>
        <w:rPr>
          <w:sz w:val="24"/>
        </w:rPr>
      </w:pPr>
    </w:p>
    <w:p w14:paraId="52939E6F" w14:textId="77777777" w:rsidR="008709C7" w:rsidRDefault="00FE784F">
      <w:pPr>
        <w:pStyle w:val="BodyText"/>
        <w:spacing w:before="1"/>
        <w:ind w:left="100"/>
      </w:pPr>
      <w:r>
        <w:rPr>
          <w:b/>
          <w:w w:val="105"/>
          <w:u w:val="single"/>
        </w:rPr>
        <w:t>Eligibility</w:t>
      </w:r>
      <w:r>
        <w:rPr>
          <w:w w:val="105"/>
        </w:rPr>
        <w:t xml:space="preserve">: All currently enrolled undergraduate or graduate </w:t>
      </w:r>
      <w:proofErr w:type="spellStart"/>
      <w:r>
        <w:rPr>
          <w:w w:val="105"/>
        </w:rPr>
        <w:t>CoE</w:t>
      </w:r>
      <w:proofErr w:type="spellEnd"/>
      <w:r>
        <w:rPr>
          <w:w w:val="105"/>
        </w:rPr>
        <w:t xml:space="preserve"> students in good standing.</w:t>
      </w:r>
    </w:p>
    <w:p w14:paraId="0431DE32" w14:textId="77777777" w:rsidR="008709C7" w:rsidRDefault="008709C7">
      <w:pPr>
        <w:pStyle w:val="BodyText"/>
        <w:spacing w:before="4"/>
      </w:pPr>
    </w:p>
    <w:p w14:paraId="0825DDCA" w14:textId="43D73C54" w:rsidR="008709C7" w:rsidRDefault="00FE784F">
      <w:pPr>
        <w:pStyle w:val="BodyText"/>
        <w:spacing w:before="98" w:line="285" w:lineRule="auto"/>
        <w:ind w:left="820" w:right="78" w:hanging="720"/>
      </w:pPr>
      <w:r>
        <w:rPr>
          <w:b/>
          <w:w w:val="105"/>
          <w:u w:val="single"/>
        </w:rPr>
        <w:t>Due Dates:</w:t>
      </w:r>
      <w:r>
        <w:rPr>
          <w:b/>
          <w:w w:val="105"/>
        </w:rPr>
        <w:t xml:space="preserve"> </w:t>
      </w:r>
      <w:r>
        <w:rPr>
          <w:w w:val="105"/>
        </w:rPr>
        <w:t xml:space="preserve">The grants are awarded on </w:t>
      </w:r>
      <w:r w:rsidR="00690A5B">
        <w:rPr>
          <w:w w:val="105"/>
        </w:rPr>
        <w:t xml:space="preserve">a </w:t>
      </w:r>
      <w:r>
        <w:rPr>
          <w:w w:val="105"/>
        </w:rPr>
        <w:t>first-come first-serve basis until the supporting budget is exhausted. T</w:t>
      </w:r>
      <w:bookmarkStart w:id="0" w:name="_GoBack"/>
      <w:bookmarkEnd w:id="0"/>
      <w:r>
        <w:rPr>
          <w:w w:val="105"/>
        </w:rPr>
        <w:t>he applications should be submitted by:</w:t>
      </w:r>
    </w:p>
    <w:p w14:paraId="2FBA35A6" w14:textId="185E6B1B" w:rsidR="008709C7" w:rsidRDefault="00FE784F">
      <w:pPr>
        <w:pStyle w:val="ListParagraph"/>
        <w:numPr>
          <w:ilvl w:val="0"/>
          <w:numId w:val="2"/>
        </w:numPr>
        <w:tabs>
          <w:tab w:val="left" w:pos="955"/>
        </w:tabs>
        <w:spacing w:before="6"/>
        <w:rPr>
          <w:sz w:val="21"/>
        </w:rPr>
      </w:pPr>
      <w:r>
        <w:rPr>
          <w:w w:val="105"/>
          <w:sz w:val="21"/>
        </w:rPr>
        <w:t xml:space="preserve">February 1 for papers </w:t>
      </w:r>
      <w:r>
        <w:rPr>
          <w:i/>
          <w:w w:val="105"/>
          <w:sz w:val="21"/>
        </w:rPr>
        <w:t xml:space="preserve">accepted </w:t>
      </w:r>
      <w:r>
        <w:rPr>
          <w:w w:val="105"/>
          <w:sz w:val="21"/>
        </w:rPr>
        <w:t xml:space="preserve">during </w:t>
      </w:r>
      <w:r w:rsidR="0034140D">
        <w:rPr>
          <w:w w:val="105"/>
          <w:sz w:val="21"/>
        </w:rPr>
        <w:t>June 1 – Jan. 31</w:t>
      </w:r>
    </w:p>
    <w:p w14:paraId="15A8DBAD" w14:textId="5E616057" w:rsidR="008709C7" w:rsidRDefault="00FE784F">
      <w:pPr>
        <w:pStyle w:val="ListParagraph"/>
        <w:numPr>
          <w:ilvl w:val="0"/>
          <w:numId w:val="2"/>
        </w:numPr>
        <w:tabs>
          <w:tab w:val="left" w:pos="955"/>
        </w:tabs>
        <w:spacing w:before="52"/>
        <w:rPr>
          <w:sz w:val="21"/>
        </w:rPr>
      </w:pPr>
      <w:r>
        <w:rPr>
          <w:w w:val="105"/>
          <w:sz w:val="21"/>
        </w:rPr>
        <w:t xml:space="preserve">June 1 for papers </w:t>
      </w:r>
      <w:r>
        <w:rPr>
          <w:i/>
          <w:w w:val="105"/>
          <w:sz w:val="21"/>
        </w:rPr>
        <w:t xml:space="preserve">accepted </w:t>
      </w:r>
      <w:r>
        <w:rPr>
          <w:w w:val="105"/>
          <w:sz w:val="21"/>
        </w:rPr>
        <w:t xml:space="preserve">during </w:t>
      </w:r>
      <w:r w:rsidR="0034140D">
        <w:rPr>
          <w:w w:val="105"/>
          <w:sz w:val="21"/>
        </w:rPr>
        <w:t>Feb. 1 – May 3</w:t>
      </w:r>
      <w:r w:rsidR="00285663">
        <w:rPr>
          <w:w w:val="105"/>
          <w:sz w:val="21"/>
        </w:rPr>
        <w:t>1</w:t>
      </w:r>
    </w:p>
    <w:p w14:paraId="0A00426F" w14:textId="333237B6" w:rsidR="008709C7" w:rsidRDefault="00544721">
      <w:pPr>
        <w:pStyle w:val="ListParagraph"/>
        <w:numPr>
          <w:ilvl w:val="0"/>
          <w:numId w:val="2"/>
        </w:numPr>
        <w:tabs>
          <w:tab w:val="left" w:pos="955"/>
        </w:tabs>
        <w:spacing w:before="46"/>
        <w:rPr>
          <w:sz w:val="21"/>
        </w:rPr>
      </w:pPr>
      <w:r>
        <w:rPr>
          <w:w w:val="105"/>
          <w:sz w:val="21"/>
        </w:rPr>
        <w:t>October</w:t>
      </w:r>
      <w:r w:rsidR="00FE784F">
        <w:rPr>
          <w:w w:val="105"/>
          <w:sz w:val="21"/>
        </w:rPr>
        <w:t xml:space="preserve"> 1 for papers </w:t>
      </w:r>
      <w:r w:rsidR="00FE784F">
        <w:rPr>
          <w:i/>
          <w:w w:val="105"/>
          <w:sz w:val="21"/>
        </w:rPr>
        <w:t xml:space="preserve">accepted </w:t>
      </w:r>
      <w:r w:rsidR="0034140D">
        <w:rPr>
          <w:w w:val="105"/>
          <w:sz w:val="21"/>
        </w:rPr>
        <w:t>between</w:t>
      </w:r>
      <w:r w:rsidR="00FE784F">
        <w:rPr>
          <w:w w:val="105"/>
          <w:sz w:val="21"/>
        </w:rPr>
        <w:t xml:space="preserve"> </w:t>
      </w:r>
      <w:r w:rsidR="0034140D">
        <w:rPr>
          <w:w w:val="105"/>
          <w:sz w:val="21"/>
        </w:rPr>
        <w:t>June</w:t>
      </w:r>
      <w:r w:rsidR="00690A5B">
        <w:rPr>
          <w:w w:val="105"/>
          <w:sz w:val="21"/>
        </w:rPr>
        <w:t xml:space="preserve"> </w:t>
      </w:r>
      <w:r w:rsidR="0034140D">
        <w:rPr>
          <w:w w:val="105"/>
          <w:sz w:val="21"/>
        </w:rPr>
        <w:t>1</w:t>
      </w:r>
      <w:r w:rsidR="00FE784F">
        <w:rPr>
          <w:w w:val="105"/>
          <w:sz w:val="21"/>
        </w:rPr>
        <w:t xml:space="preserve"> </w:t>
      </w:r>
      <w:r w:rsidR="0034140D">
        <w:rPr>
          <w:w w:val="105"/>
          <w:sz w:val="21"/>
        </w:rPr>
        <w:t>–</w:t>
      </w:r>
      <w:r w:rsidR="00FE784F">
        <w:rPr>
          <w:w w:val="105"/>
          <w:sz w:val="21"/>
        </w:rPr>
        <w:t xml:space="preserve"> </w:t>
      </w:r>
      <w:r w:rsidR="0034140D">
        <w:rPr>
          <w:w w:val="105"/>
          <w:sz w:val="21"/>
        </w:rPr>
        <w:t>Sept 30</w:t>
      </w:r>
    </w:p>
    <w:p w14:paraId="470153D9" w14:textId="77777777" w:rsidR="008709C7" w:rsidRDefault="008709C7">
      <w:pPr>
        <w:pStyle w:val="BodyText"/>
        <w:spacing w:before="6"/>
        <w:rPr>
          <w:sz w:val="29"/>
        </w:rPr>
      </w:pPr>
    </w:p>
    <w:p w14:paraId="18FA762A" w14:textId="77777777" w:rsidR="008709C7" w:rsidRDefault="00FE784F">
      <w:pPr>
        <w:ind w:left="100"/>
        <w:rPr>
          <w:b/>
          <w:sz w:val="21"/>
        </w:rPr>
      </w:pPr>
      <w:r>
        <w:rPr>
          <w:b/>
          <w:w w:val="105"/>
          <w:sz w:val="21"/>
          <w:u w:val="single"/>
        </w:rPr>
        <w:t>Conditions</w:t>
      </w:r>
      <w:r>
        <w:rPr>
          <w:b/>
          <w:w w:val="105"/>
          <w:sz w:val="21"/>
        </w:rPr>
        <w:t>:</w:t>
      </w:r>
    </w:p>
    <w:p w14:paraId="5B93E3ED" w14:textId="7F6337F8" w:rsidR="008709C7" w:rsidRDefault="00FE78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51" w:line="290" w:lineRule="auto"/>
        <w:ind w:right="124"/>
        <w:rPr>
          <w:sz w:val="21"/>
        </w:rPr>
      </w:pPr>
      <w:r>
        <w:rPr>
          <w:w w:val="105"/>
          <w:sz w:val="21"/>
        </w:rPr>
        <w:t xml:space="preserve">At the time a student applies for </w:t>
      </w:r>
      <w:r w:rsidR="00C5141B">
        <w:rPr>
          <w:w w:val="105"/>
          <w:sz w:val="21"/>
        </w:rPr>
        <w:t xml:space="preserve">the </w:t>
      </w:r>
      <w:proofErr w:type="spellStart"/>
      <w:r>
        <w:rPr>
          <w:w w:val="105"/>
          <w:sz w:val="21"/>
        </w:rPr>
        <w:t>CoE</w:t>
      </w:r>
      <w:proofErr w:type="spellEnd"/>
      <w:r>
        <w:rPr>
          <w:w w:val="105"/>
          <w:sz w:val="21"/>
        </w:rPr>
        <w:t xml:space="preserve"> </w:t>
      </w:r>
      <w:r w:rsidR="001E4F78">
        <w:rPr>
          <w:w w:val="105"/>
          <w:sz w:val="21"/>
        </w:rPr>
        <w:t>conference</w:t>
      </w:r>
      <w:r>
        <w:rPr>
          <w:w w:val="105"/>
          <w:sz w:val="21"/>
        </w:rPr>
        <w:t xml:space="preserve"> </w:t>
      </w:r>
      <w:r w:rsidR="00C5141B">
        <w:rPr>
          <w:w w:val="105"/>
          <w:sz w:val="21"/>
        </w:rPr>
        <w:t>support</w:t>
      </w:r>
      <w:r>
        <w:rPr>
          <w:w w:val="105"/>
          <w:sz w:val="21"/>
        </w:rPr>
        <w:t>,</w:t>
      </w:r>
      <w:r>
        <w:rPr>
          <w:spacing w:val="-44"/>
          <w:w w:val="105"/>
          <w:sz w:val="21"/>
        </w:rPr>
        <w:t xml:space="preserve"> </w:t>
      </w:r>
      <w:r>
        <w:rPr>
          <w:w w:val="105"/>
          <w:sz w:val="21"/>
        </w:rPr>
        <w:t xml:space="preserve">she/he should also apply for a </w:t>
      </w:r>
      <w:r w:rsidR="00C5141B">
        <w:rPr>
          <w:w w:val="105"/>
          <w:sz w:val="21"/>
        </w:rPr>
        <w:t>support</w:t>
      </w:r>
      <w:r>
        <w:rPr>
          <w:w w:val="105"/>
          <w:sz w:val="21"/>
        </w:rPr>
        <w:t xml:space="preserve"> grant sponsored by the conference organization</w:t>
      </w:r>
      <w:r w:rsidR="001E4F78">
        <w:rPr>
          <w:w w:val="105"/>
          <w:sz w:val="21"/>
        </w:rPr>
        <w:t xml:space="preserve"> if available</w:t>
      </w:r>
      <w:r>
        <w:rPr>
          <w:w w:val="105"/>
          <w:sz w:val="21"/>
        </w:rPr>
        <w:t xml:space="preserve">. An approved </w:t>
      </w:r>
      <w:proofErr w:type="spellStart"/>
      <w:r>
        <w:rPr>
          <w:w w:val="105"/>
          <w:sz w:val="21"/>
        </w:rPr>
        <w:t>CoE</w:t>
      </w:r>
      <w:proofErr w:type="spellEnd"/>
      <w:r>
        <w:rPr>
          <w:w w:val="105"/>
          <w:sz w:val="21"/>
        </w:rPr>
        <w:t xml:space="preserve"> grant is provisional until the student documents that no such grant is offered by the conference organization</w:t>
      </w:r>
      <w:r w:rsidR="00690A5B">
        <w:rPr>
          <w:w w:val="105"/>
          <w:sz w:val="21"/>
        </w:rPr>
        <w:t xml:space="preserve">, </w:t>
      </w:r>
      <w:r>
        <w:rPr>
          <w:w w:val="105"/>
          <w:sz w:val="21"/>
        </w:rPr>
        <w:t>or that it’s offered but an application submitted for one was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declined.</w:t>
      </w:r>
    </w:p>
    <w:p w14:paraId="539BDD8D" w14:textId="3A7398C7" w:rsidR="008709C7" w:rsidRDefault="00FE78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90" w:lineRule="auto"/>
        <w:ind w:right="531"/>
        <w:rPr>
          <w:sz w:val="21"/>
        </w:rPr>
      </w:pPr>
      <w:r>
        <w:rPr>
          <w:w w:val="105"/>
          <w:sz w:val="21"/>
        </w:rPr>
        <w:t xml:space="preserve">Only </w:t>
      </w:r>
      <w:r w:rsidR="00690A5B">
        <w:rPr>
          <w:w w:val="105"/>
          <w:sz w:val="21"/>
        </w:rPr>
        <w:t xml:space="preserve">a </w:t>
      </w:r>
      <w:r w:rsidR="00C5141B">
        <w:rPr>
          <w:w w:val="105"/>
          <w:sz w:val="21"/>
        </w:rPr>
        <w:t>presentation</w:t>
      </w:r>
      <w:r>
        <w:rPr>
          <w:w w:val="105"/>
          <w:sz w:val="21"/>
        </w:rPr>
        <w:t xml:space="preserve"> </w:t>
      </w:r>
      <w:r w:rsidR="00C5141B">
        <w:rPr>
          <w:w w:val="105"/>
          <w:sz w:val="21"/>
        </w:rPr>
        <w:t>in</w:t>
      </w:r>
      <w:r>
        <w:rPr>
          <w:w w:val="105"/>
          <w:sz w:val="21"/>
        </w:rPr>
        <w:t xml:space="preserve"> a domestic</w:t>
      </w:r>
      <w:r w:rsidR="00690A5B">
        <w:rPr>
          <w:w w:val="105"/>
          <w:sz w:val="21"/>
        </w:rPr>
        <w:t>,</w:t>
      </w:r>
      <w:r>
        <w:rPr>
          <w:w w:val="105"/>
          <w:sz w:val="21"/>
        </w:rPr>
        <w:t xml:space="preserve"> </w:t>
      </w:r>
      <w:r w:rsidR="00C5141B">
        <w:rPr>
          <w:w w:val="105"/>
          <w:sz w:val="21"/>
        </w:rPr>
        <w:t>high-quality</w:t>
      </w:r>
      <w:r>
        <w:rPr>
          <w:w w:val="105"/>
          <w:sz w:val="21"/>
        </w:rPr>
        <w:t xml:space="preserve"> conference sponsored by a well-recognized professional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organization</w:t>
      </w:r>
      <w:r>
        <w:rPr>
          <w:spacing w:val="-4"/>
          <w:w w:val="105"/>
          <w:sz w:val="21"/>
        </w:rPr>
        <w:t xml:space="preserve"> </w:t>
      </w:r>
      <w:r w:rsidR="00690A5B">
        <w:rPr>
          <w:w w:val="105"/>
          <w:sz w:val="21"/>
        </w:rPr>
        <w:t>will be</w:t>
      </w:r>
      <w:r w:rsidR="00690A5B"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supported.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Objective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metrics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used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assess</w:t>
      </w:r>
      <w:r>
        <w:rPr>
          <w:spacing w:val="-4"/>
          <w:w w:val="105"/>
          <w:sz w:val="21"/>
        </w:rPr>
        <w:t xml:space="preserve"> </w:t>
      </w:r>
      <w:r w:rsidR="00690A5B">
        <w:rPr>
          <w:spacing w:val="-4"/>
          <w:w w:val="105"/>
          <w:sz w:val="21"/>
        </w:rPr>
        <w:t xml:space="preserve">the </w:t>
      </w:r>
      <w:r>
        <w:rPr>
          <w:w w:val="105"/>
          <w:sz w:val="21"/>
        </w:rPr>
        <w:t>quality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 conference such as the Google Scholar h-5 index, paper acceptance rate, and the conference absolute ranking (if available) will 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considered.</w:t>
      </w:r>
    </w:p>
    <w:p w14:paraId="20157EBD" w14:textId="77777777" w:rsidR="008709C7" w:rsidRDefault="008709C7">
      <w:pPr>
        <w:pStyle w:val="BodyText"/>
        <w:spacing w:before="7"/>
        <w:rPr>
          <w:sz w:val="24"/>
        </w:rPr>
      </w:pPr>
    </w:p>
    <w:p w14:paraId="73ABEB9A" w14:textId="7FB8CB2D" w:rsidR="008709C7" w:rsidRDefault="00FE784F">
      <w:pPr>
        <w:pStyle w:val="BodyText"/>
        <w:spacing w:line="290" w:lineRule="auto"/>
        <w:ind w:left="820" w:right="78" w:hanging="720"/>
      </w:pPr>
      <w:r>
        <w:rPr>
          <w:b/>
          <w:w w:val="105"/>
          <w:u w:val="single"/>
        </w:rPr>
        <w:t>Application:</w:t>
      </w:r>
      <w:r>
        <w:rPr>
          <w:b/>
          <w:w w:val="105"/>
        </w:rPr>
        <w:t xml:space="preserve"> </w:t>
      </w:r>
      <w:r>
        <w:rPr>
          <w:w w:val="105"/>
        </w:rPr>
        <w:t xml:space="preserve">Students apply for a </w:t>
      </w:r>
      <w:r w:rsidR="004163DA">
        <w:rPr>
          <w:w w:val="105"/>
        </w:rPr>
        <w:t>conference support</w:t>
      </w:r>
      <w:r>
        <w:rPr>
          <w:w w:val="105"/>
        </w:rPr>
        <w:t xml:space="preserve"> grant by completing a provided application form</w:t>
      </w:r>
      <w:r w:rsidR="007356C6">
        <w:rPr>
          <w:w w:val="105"/>
        </w:rPr>
        <w:t xml:space="preserve"> (in Word)</w:t>
      </w:r>
      <w:r>
        <w:rPr>
          <w:w w:val="105"/>
        </w:rPr>
        <w:t xml:space="preserve"> and attaching all requested supporting documents</w:t>
      </w:r>
      <w:r w:rsidR="007356C6">
        <w:rPr>
          <w:w w:val="105"/>
        </w:rPr>
        <w:t>, then uploading them as a single PDF</w:t>
      </w:r>
      <w:r>
        <w:rPr>
          <w:w w:val="105"/>
        </w:rPr>
        <w:t xml:space="preserve">. </w:t>
      </w:r>
      <w:r w:rsidR="007356C6">
        <w:rPr>
          <w:w w:val="105"/>
        </w:rPr>
        <w:t xml:space="preserve">Documents </w:t>
      </w:r>
      <w:r>
        <w:rPr>
          <w:w w:val="105"/>
        </w:rPr>
        <w:t>include:</w:t>
      </w:r>
    </w:p>
    <w:p w14:paraId="257A7612" w14:textId="257304E1" w:rsidR="008709C7" w:rsidRDefault="00FE784F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before="1"/>
        <w:rPr>
          <w:sz w:val="21"/>
        </w:rPr>
      </w:pPr>
      <w:r>
        <w:rPr>
          <w:w w:val="105"/>
          <w:sz w:val="21"/>
        </w:rPr>
        <w:t>Final paper acceptance notification received from the conference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organization</w:t>
      </w:r>
      <w:r w:rsidR="00690A5B">
        <w:rPr>
          <w:w w:val="105"/>
          <w:sz w:val="21"/>
        </w:rPr>
        <w:t>.</w:t>
      </w:r>
    </w:p>
    <w:p w14:paraId="66106595" w14:textId="6F578916" w:rsidR="008709C7" w:rsidRDefault="00FE784F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before="47"/>
        <w:rPr>
          <w:sz w:val="21"/>
        </w:rPr>
      </w:pPr>
      <w:r>
        <w:rPr>
          <w:w w:val="105"/>
          <w:sz w:val="21"/>
        </w:rPr>
        <w:t>One</w:t>
      </w:r>
      <w:r w:rsidR="00690A5B">
        <w:rPr>
          <w:w w:val="105"/>
          <w:sz w:val="21"/>
        </w:rPr>
        <w:t>-</w:t>
      </w:r>
      <w:r>
        <w:rPr>
          <w:w w:val="105"/>
          <w:sz w:val="21"/>
        </w:rPr>
        <w:t>page student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resume</w:t>
      </w:r>
      <w:r w:rsidR="00690A5B">
        <w:rPr>
          <w:w w:val="105"/>
          <w:sz w:val="21"/>
        </w:rPr>
        <w:t>.</w:t>
      </w:r>
    </w:p>
    <w:p w14:paraId="1E15E530" w14:textId="0C33080F" w:rsidR="008709C7" w:rsidRDefault="00FE784F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before="51" w:line="288" w:lineRule="auto"/>
        <w:ind w:right="157"/>
        <w:rPr>
          <w:sz w:val="21"/>
        </w:rPr>
      </w:pPr>
      <w:r>
        <w:rPr>
          <w:w w:val="105"/>
          <w:sz w:val="21"/>
        </w:rPr>
        <w:t xml:space="preserve">Support form from the faculty mentor commenting on the quality of the paper, the quality of the conference, the recommended funding amount (within the </w:t>
      </w:r>
      <w:proofErr w:type="gramStart"/>
      <w:r>
        <w:rPr>
          <w:w w:val="105"/>
          <w:sz w:val="21"/>
        </w:rPr>
        <w:t>limit</w:t>
      </w:r>
      <w:r w:rsidR="00690A5B">
        <w:rPr>
          <w:w w:val="105"/>
          <w:sz w:val="21"/>
        </w:rPr>
        <w:t xml:space="preserve"> </w:t>
      </w:r>
      <w:r>
        <w:rPr>
          <w:spacing w:val="-45"/>
          <w:w w:val="105"/>
          <w:sz w:val="21"/>
        </w:rPr>
        <w:t xml:space="preserve"> </w:t>
      </w:r>
      <w:r>
        <w:rPr>
          <w:w w:val="105"/>
          <w:sz w:val="21"/>
        </w:rPr>
        <w:t>above</w:t>
      </w:r>
      <w:proofErr w:type="gramEnd"/>
      <w:r>
        <w:rPr>
          <w:w w:val="105"/>
          <w:sz w:val="21"/>
        </w:rPr>
        <w:t xml:space="preserve">), and why it cannot be covered by the faculty’s own research grants (if any). The supporting form must include a list of all grant proposals for external funding submitted within the past 12 months (grant proposal, funding source, project title, total funding requested, date of submission) that included student </w:t>
      </w:r>
      <w:r w:rsidR="001E4F78">
        <w:rPr>
          <w:w w:val="105"/>
          <w:sz w:val="21"/>
        </w:rPr>
        <w:t xml:space="preserve">conference attendance </w:t>
      </w:r>
      <w:r>
        <w:rPr>
          <w:w w:val="105"/>
          <w:sz w:val="21"/>
        </w:rPr>
        <w:t>in the project budget, as evidence of good</w:t>
      </w:r>
      <w:r w:rsidR="00690A5B">
        <w:rPr>
          <w:w w:val="105"/>
          <w:sz w:val="21"/>
        </w:rPr>
        <w:t>-</w:t>
      </w:r>
      <w:r>
        <w:rPr>
          <w:w w:val="105"/>
          <w:sz w:val="21"/>
        </w:rPr>
        <w:t>faith efforts to secure outside funding for student</w:t>
      </w:r>
      <w:r>
        <w:rPr>
          <w:spacing w:val="6"/>
          <w:w w:val="105"/>
          <w:sz w:val="21"/>
        </w:rPr>
        <w:t xml:space="preserve"> </w:t>
      </w:r>
      <w:r w:rsidR="001E4F78">
        <w:rPr>
          <w:w w:val="105"/>
          <w:sz w:val="21"/>
        </w:rPr>
        <w:t>conference attendance</w:t>
      </w:r>
      <w:r>
        <w:rPr>
          <w:w w:val="105"/>
          <w:sz w:val="21"/>
        </w:rPr>
        <w:t>.</w:t>
      </w:r>
    </w:p>
    <w:sectPr w:rsidR="008709C7">
      <w:type w:val="continuous"/>
      <w:pgSz w:w="12240" w:h="15840"/>
      <w:pgMar w:top="10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11D1"/>
    <w:multiLevelType w:val="hybridMultilevel"/>
    <w:tmpl w:val="6398235C"/>
    <w:lvl w:ilvl="0" w:tplc="CE5297D6">
      <w:numFmt w:val="bullet"/>
      <w:lvlText w:val="-"/>
      <w:lvlJc w:val="left"/>
      <w:pPr>
        <w:ind w:left="954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8C24B9BC">
      <w:numFmt w:val="bullet"/>
      <w:lvlText w:val="•"/>
      <w:lvlJc w:val="left"/>
      <w:pPr>
        <w:ind w:left="1816" w:hanging="135"/>
      </w:pPr>
      <w:rPr>
        <w:rFonts w:hint="default"/>
      </w:rPr>
    </w:lvl>
    <w:lvl w:ilvl="2" w:tplc="0C72DF2E">
      <w:numFmt w:val="bullet"/>
      <w:lvlText w:val="•"/>
      <w:lvlJc w:val="left"/>
      <w:pPr>
        <w:ind w:left="2672" w:hanging="135"/>
      </w:pPr>
      <w:rPr>
        <w:rFonts w:hint="default"/>
      </w:rPr>
    </w:lvl>
    <w:lvl w:ilvl="3" w:tplc="9A60F214">
      <w:numFmt w:val="bullet"/>
      <w:lvlText w:val="•"/>
      <w:lvlJc w:val="left"/>
      <w:pPr>
        <w:ind w:left="3528" w:hanging="135"/>
      </w:pPr>
      <w:rPr>
        <w:rFonts w:hint="default"/>
      </w:rPr>
    </w:lvl>
    <w:lvl w:ilvl="4" w:tplc="B10E05B2">
      <w:numFmt w:val="bullet"/>
      <w:lvlText w:val="•"/>
      <w:lvlJc w:val="left"/>
      <w:pPr>
        <w:ind w:left="4384" w:hanging="135"/>
      </w:pPr>
      <w:rPr>
        <w:rFonts w:hint="default"/>
      </w:rPr>
    </w:lvl>
    <w:lvl w:ilvl="5" w:tplc="DA72FE14">
      <w:numFmt w:val="bullet"/>
      <w:lvlText w:val="•"/>
      <w:lvlJc w:val="left"/>
      <w:pPr>
        <w:ind w:left="5240" w:hanging="135"/>
      </w:pPr>
      <w:rPr>
        <w:rFonts w:hint="default"/>
      </w:rPr>
    </w:lvl>
    <w:lvl w:ilvl="6" w:tplc="EA0EC302">
      <w:numFmt w:val="bullet"/>
      <w:lvlText w:val="•"/>
      <w:lvlJc w:val="left"/>
      <w:pPr>
        <w:ind w:left="6096" w:hanging="135"/>
      </w:pPr>
      <w:rPr>
        <w:rFonts w:hint="default"/>
      </w:rPr>
    </w:lvl>
    <w:lvl w:ilvl="7" w:tplc="D87A7BC6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DDF8F56A">
      <w:numFmt w:val="bullet"/>
      <w:lvlText w:val="•"/>
      <w:lvlJc w:val="left"/>
      <w:pPr>
        <w:ind w:left="7808" w:hanging="135"/>
      </w:pPr>
      <w:rPr>
        <w:rFonts w:hint="default"/>
      </w:rPr>
    </w:lvl>
  </w:abstractNum>
  <w:abstractNum w:abstractNumId="1" w15:restartNumberingAfterBreak="0">
    <w:nsid w:val="6162470B"/>
    <w:multiLevelType w:val="hybridMultilevel"/>
    <w:tmpl w:val="445CC9C6"/>
    <w:lvl w:ilvl="0" w:tplc="29FE45FC">
      <w:start w:val="1"/>
      <w:numFmt w:val="decimal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1" w:tplc="31A61302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2" w:tplc="734A769A">
      <w:numFmt w:val="bullet"/>
      <w:lvlText w:val="•"/>
      <w:lvlJc w:val="left"/>
      <w:pPr>
        <w:ind w:left="2106" w:hanging="360"/>
      </w:pPr>
      <w:rPr>
        <w:rFonts w:hint="default"/>
      </w:rPr>
    </w:lvl>
    <w:lvl w:ilvl="3" w:tplc="5ED23592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8FA6362A"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3EC2E5EC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658A798"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0AE67F0C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50A40056">
      <w:numFmt w:val="bullet"/>
      <w:lvlText w:val="•"/>
      <w:lvlJc w:val="left"/>
      <w:pPr>
        <w:ind w:left="766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C7"/>
    <w:rsid w:val="001E4F78"/>
    <w:rsid w:val="00260EE1"/>
    <w:rsid w:val="00285663"/>
    <w:rsid w:val="0034140D"/>
    <w:rsid w:val="004163DA"/>
    <w:rsid w:val="005254A4"/>
    <w:rsid w:val="00544721"/>
    <w:rsid w:val="005B4919"/>
    <w:rsid w:val="006448D1"/>
    <w:rsid w:val="00690A5B"/>
    <w:rsid w:val="007356C6"/>
    <w:rsid w:val="0075083A"/>
    <w:rsid w:val="00823829"/>
    <w:rsid w:val="008709C7"/>
    <w:rsid w:val="00884B14"/>
    <w:rsid w:val="0089483D"/>
    <w:rsid w:val="008F52CC"/>
    <w:rsid w:val="00C5141B"/>
    <w:rsid w:val="00CB6D35"/>
    <w:rsid w:val="00F02BBB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0A85"/>
  <w15:docId w15:val="{E4F92FC0-9F4A-B444-BD2B-FFD24D3B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3"/>
      <w:ind w:left="2647" w:right="1553" w:hanging="103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51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41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1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1B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Francesca</dc:creator>
  <cp:lastModifiedBy>Xiao Su</cp:lastModifiedBy>
  <cp:revision>7</cp:revision>
  <dcterms:created xsi:type="dcterms:W3CDTF">2020-08-28T20:37:00Z</dcterms:created>
  <dcterms:modified xsi:type="dcterms:W3CDTF">2022-06-15T23:21:00Z</dcterms:modified>
</cp:coreProperties>
</file>