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5566B" w14:textId="77777777" w:rsidR="002F6AD3" w:rsidRPr="002F6AD3" w:rsidRDefault="002F6AD3" w:rsidP="00CE57BA">
      <w:pPr>
        <w:ind w:left="-90" w:right="-90"/>
        <w:jc w:val="center"/>
        <w:rPr>
          <w:sz w:val="28"/>
          <w:szCs w:val="28"/>
        </w:rPr>
      </w:pPr>
    </w:p>
    <w:p w14:paraId="3EC14427" w14:textId="77777777" w:rsidR="0008293C" w:rsidRPr="00310987" w:rsidRDefault="0008293C" w:rsidP="005C644C">
      <w:pPr>
        <w:spacing w:after="120"/>
        <w:rPr>
          <w:sz w:val="22"/>
          <w:szCs w:val="22"/>
        </w:rPr>
      </w:pPr>
    </w:p>
    <w:p w14:paraId="17605A9F" w14:textId="77777777" w:rsidR="001F6230" w:rsidRPr="001F6230" w:rsidRDefault="001A5851" w:rsidP="001F6230">
      <w:pPr>
        <w:jc w:val="center"/>
        <w:rPr>
          <w:b/>
          <w:sz w:val="28"/>
          <w:szCs w:val="28"/>
        </w:rPr>
      </w:pPr>
      <w:bookmarkStart w:id="0" w:name="_GoBack"/>
      <w:r w:rsidRPr="001F6230">
        <w:rPr>
          <w:b/>
          <w:sz w:val="28"/>
          <w:szCs w:val="28"/>
        </w:rPr>
        <w:t>San José State University</w:t>
      </w:r>
    </w:p>
    <w:p w14:paraId="6681400E" w14:textId="75723BDF" w:rsidR="00D91ACA" w:rsidRPr="00D91ACA" w:rsidRDefault="00D91ACA" w:rsidP="00D91ACA">
      <w:pPr>
        <w:pStyle w:val="Heading1"/>
      </w:pPr>
      <w:r>
        <w:t>Department of English</w:t>
      </w:r>
      <w:r w:rsidR="00444C92" w:rsidRPr="00310987">
        <w:br/>
      </w:r>
      <w:r>
        <w:t xml:space="preserve">ENGL </w:t>
      </w:r>
      <w:r w:rsidR="00F244A6">
        <w:t>50: Beginnings to the American Experiment</w:t>
      </w:r>
      <w:r>
        <w:t xml:space="preserve">, </w:t>
      </w:r>
      <w:r w:rsidR="001509AA">
        <w:t>Summer</w:t>
      </w:r>
      <w:r w:rsidR="00605C8D">
        <w:t xml:space="preserve"> 2019</w:t>
      </w:r>
    </w:p>
    <w:p w14:paraId="07833F11" w14:textId="77777777"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444C92" w:rsidRPr="00310987" w14:paraId="27282314" w14:textId="77777777" w:rsidTr="00D91ACA">
        <w:trPr>
          <w:trHeight w:val="432"/>
        </w:trPr>
        <w:tc>
          <w:tcPr>
            <w:tcW w:w="3168" w:type="dxa"/>
          </w:tcPr>
          <w:p w14:paraId="51172AD1" w14:textId="77777777" w:rsidR="00444C92" w:rsidRPr="00310987" w:rsidRDefault="00444C92" w:rsidP="002F6AD3">
            <w:r w:rsidRPr="002F6AD3">
              <w:rPr>
                <w:b/>
              </w:rPr>
              <w:t>Instructor</w:t>
            </w:r>
            <w:r w:rsidRPr="00310987">
              <w:t>:</w:t>
            </w:r>
          </w:p>
        </w:tc>
        <w:tc>
          <w:tcPr>
            <w:tcW w:w="7740" w:type="dxa"/>
          </w:tcPr>
          <w:p w14:paraId="00D2843F" w14:textId="77777777" w:rsidR="00444C92" w:rsidRPr="00310987" w:rsidRDefault="00D91ACA" w:rsidP="002F6AD3">
            <w:r>
              <w:t>Dr. Adrienne Eastwood</w:t>
            </w:r>
          </w:p>
        </w:tc>
      </w:tr>
      <w:tr w:rsidR="00444C92" w:rsidRPr="00310987" w14:paraId="36FF6686" w14:textId="77777777" w:rsidTr="00D91ACA">
        <w:trPr>
          <w:trHeight w:val="432"/>
        </w:trPr>
        <w:tc>
          <w:tcPr>
            <w:tcW w:w="3168" w:type="dxa"/>
          </w:tcPr>
          <w:p w14:paraId="49D686F7" w14:textId="77777777" w:rsidR="00444C92" w:rsidRPr="00310987" w:rsidRDefault="00444C92" w:rsidP="002F6AD3">
            <w:r w:rsidRPr="002F6AD3">
              <w:rPr>
                <w:b/>
              </w:rPr>
              <w:t>Office</w:t>
            </w:r>
            <w:r w:rsidRPr="00310987">
              <w:t xml:space="preserve"> </w:t>
            </w:r>
            <w:r w:rsidRPr="002F6AD3">
              <w:rPr>
                <w:b/>
              </w:rPr>
              <w:t>Location</w:t>
            </w:r>
            <w:r w:rsidRPr="00310987">
              <w:t>:</w:t>
            </w:r>
          </w:p>
        </w:tc>
        <w:tc>
          <w:tcPr>
            <w:tcW w:w="7740" w:type="dxa"/>
          </w:tcPr>
          <w:p w14:paraId="460488C2" w14:textId="77777777" w:rsidR="00444C92" w:rsidRPr="00310987" w:rsidRDefault="00D91ACA" w:rsidP="00D91ACA">
            <w:r>
              <w:t>FOB 116</w:t>
            </w:r>
          </w:p>
        </w:tc>
      </w:tr>
      <w:tr w:rsidR="00444C92" w:rsidRPr="00310987" w14:paraId="4F3C4A74" w14:textId="77777777" w:rsidTr="00D91ACA">
        <w:trPr>
          <w:trHeight w:val="432"/>
        </w:trPr>
        <w:tc>
          <w:tcPr>
            <w:tcW w:w="3168" w:type="dxa"/>
          </w:tcPr>
          <w:p w14:paraId="7F0CF9AB" w14:textId="77777777" w:rsidR="00444C92" w:rsidRPr="00310987" w:rsidRDefault="00444C92" w:rsidP="002F6AD3">
            <w:r w:rsidRPr="002F6AD3">
              <w:rPr>
                <w:b/>
              </w:rPr>
              <w:t>Telephone</w:t>
            </w:r>
            <w:r w:rsidRPr="00310987">
              <w:t>:</w:t>
            </w:r>
          </w:p>
        </w:tc>
        <w:tc>
          <w:tcPr>
            <w:tcW w:w="7740" w:type="dxa"/>
          </w:tcPr>
          <w:p w14:paraId="2FD310E7" w14:textId="77777777" w:rsidR="00444C92" w:rsidRPr="00310987" w:rsidRDefault="00D91ACA" w:rsidP="00D91ACA">
            <w:r>
              <w:t>(408</w:t>
            </w:r>
            <w:r w:rsidR="00444C92" w:rsidRPr="00310987">
              <w:t xml:space="preserve">) </w:t>
            </w:r>
            <w:r>
              <w:t>924-4509</w:t>
            </w:r>
          </w:p>
        </w:tc>
      </w:tr>
      <w:tr w:rsidR="00444C92" w:rsidRPr="00310987" w14:paraId="2E0B79B1" w14:textId="77777777" w:rsidTr="00D91ACA">
        <w:trPr>
          <w:trHeight w:val="432"/>
        </w:trPr>
        <w:tc>
          <w:tcPr>
            <w:tcW w:w="3168" w:type="dxa"/>
          </w:tcPr>
          <w:p w14:paraId="57012A7E" w14:textId="77777777" w:rsidR="00444C92" w:rsidRPr="00310987" w:rsidRDefault="00444C92" w:rsidP="002F6AD3">
            <w:r w:rsidRPr="002F6AD3">
              <w:rPr>
                <w:b/>
              </w:rPr>
              <w:t>Email</w:t>
            </w:r>
            <w:r w:rsidRPr="00310987">
              <w:t>:</w:t>
            </w:r>
          </w:p>
        </w:tc>
        <w:tc>
          <w:tcPr>
            <w:tcW w:w="7740" w:type="dxa"/>
          </w:tcPr>
          <w:p w14:paraId="62C80242" w14:textId="77777777" w:rsidR="00444C92" w:rsidRPr="00310987" w:rsidRDefault="00D91ACA" w:rsidP="00D91ACA">
            <w:r>
              <w:t>Adrienne.Eastwood@sjsu.edu</w:t>
            </w:r>
          </w:p>
        </w:tc>
      </w:tr>
      <w:tr w:rsidR="00444C92" w:rsidRPr="00310987" w14:paraId="11B8AFC1" w14:textId="77777777" w:rsidTr="00D91ACA">
        <w:trPr>
          <w:trHeight w:val="432"/>
        </w:trPr>
        <w:tc>
          <w:tcPr>
            <w:tcW w:w="3168" w:type="dxa"/>
          </w:tcPr>
          <w:p w14:paraId="09483B5E" w14:textId="77777777" w:rsidR="00444C92" w:rsidRPr="00310987" w:rsidRDefault="00444C92" w:rsidP="002F6AD3">
            <w:r w:rsidRPr="002F6AD3">
              <w:rPr>
                <w:b/>
              </w:rPr>
              <w:t>Office Hours</w:t>
            </w:r>
            <w:r w:rsidRPr="00310987">
              <w:t>:</w:t>
            </w:r>
          </w:p>
        </w:tc>
        <w:tc>
          <w:tcPr>
            <w:tcW w:w="7740" w:type="dxa"/>
          </w:tcPr>
          <w:p w14:paraId="331A443D" w14:textId="61EA4900" w:rsidR="00444C92" w:rsidRPr="00310987" w:rsidRDefault="001509AA" w:rsidP="00D91ACA">
            <w:r>
              <w:t>B</w:t>
            </w:r>
            <w:r w:rsidR="00D91ACA">
              <w:t>y appointment.</w:t>
            </w:r>
            <w:r w:rsidR="00DE29F8" w:rsidRPr="00310987">
              <w:t xml:space="preserve"> </w:t>
            </w:r>
          </w:p>
        </w:tc>
      </w:tr>
      <w:tr w:rsidR="00444C92" w:rsidRPr="00310987" w14:paraId="4CE74F97" w14:textId="77777777" w:rsidTr="00D91ACA">
        <w:trPr>
          <w:trHeight w:val="432"/>
        </w:trPr>
        <w:tc>
          <w:tcPr>
            <w:tcW w:w="3168" w:type="dxa"/>
          </w:tcPr>
          <w:p w14:paraId="753B3F8C" w14:textId="77777777" w:rsidR="00444C92" w:rsidRPr="00310987" w:rsidRDefault="00444C92" w:rsidP="002F6AD3">
            <w:r w:rsidRPr="002F6AD3">
              <w:rPr>
                <w:b/>
              </w:rPr>
              <w:t>Class Days/Time</w:t>
            </w:r>
            <w:r w:rsidRPr="00310987">
              <w:t>:</w:t>
            </w:r>
          </w:p>
        </w:tc>
        <w:tc>
          <w:tcPr>
            <w:tcW w:w="7740" w:type="dxa"/>
          </w:tcPr>
          <w:p w14:paraId="7D01E627" w14:textId="5A8D4F1C" w:rsidR="00444C92" w:rsidRPr="00310987" w:rsidRDefault="00D91ACA" w:rsidP="00F244A6">
            <w:r>
              <w:t xml:space="preserve">Mondays and Wednesdays, </w:t>
            </w:r>
            <w:r w:rsidR="00F244A6">
              <w:t>1</w:t>
            </w:r>
            <w:r w:rsidR="001509AA">
              <w:t>:00 – 2:55 p.m.</w:t>
            </w:r>
          </w:p>
        </w:tc>
      </w:tr>
      <w:tr w:rsidR="00444C92" w:rsidRPr="00310987" w14:paraId="76A09FB4" w14:textId="77777777" w:rsidTr="00D91ACA">
        <w:trPr>
          <w:trHeight w:val="450"/>
        </w:trPr>
        <w:tc>
          <w:tcPr>
            <w:tcW w:w="3168" w:type="dxa"/>
          </w:tcPr>
          <w:p w14:paraId="60E54392" w14:textId="77777777" w:rsidR="00444C92" w:rsidRPr="00310987" w:rsidRDefault="00444C92" w:rsidP="002F6AD3">
            <w:r w:rsidRPr="002F6AD3">
              <w:rPr>
                <w:b/>
              </w:rPr>
              <w:t>Classroom</w:t>
            </w:r>
            <w:r w:rsidRPr="00310987">
              <w:t>:</w:t>
            </w:r>
          </w:p>
        </w:tc>
        <w:tc>
          <w:tcPr>
            <w:tcW w:w="7740" w:type="dxa"/>
          </w:tcPr>
          <w:p w14:paraId="565E3192" w14:textId="23BE9432" w:rsidR="00444C92" w:rsidRPr="00310987" w:rsidRDefault="001509AA" w:rsidP="00F244A6">
            <w:r>
              <w:t>Duncan Hall 351</w:t>
            </w:r>
          </w:p>
        </w:tc>
      </w:tr>
      <w:tr w:rsidR="00444C92" w:rsidRPr="00310987" w14:paraId="34B64B7A" w14:textId="77777777" w:rsidTr="00D91ACA">
        <w:trPr>
          <w:trHeight w:val="432"/>
        </w:trPr>
        <w:tc>
          <w:tcPr>
            <w:tcW w:w="3168" w:type="dxa"/>
          </w:tcPr>
          <w:p w14:paraId="0B1BAB4A" w14:textId="77777777" w:rsidR="00444C92" w:rsidRPr="00310987" w:rsidRDefault="00444C92" w:rsidP="002F6AD3">
            <w:r w:rsidRPr="002F6AD3">
              <w:rPr>
                <w:b/>
              </w:rPr>
              <w:t>Prerequisites</w:t>
            </w:r>
            <w:r w:rsidRPr="00310987">
              <w:t>:</w:t>
            </w:r>
          </w:p>
        </w:tc>
        <w:tc>
          <w:tcPr>
            <w:tcW w:w="7740" w:type="dxa"/>
          </w:tcPr>
          <w:p w14:paraId="3F86E2C4" w14:textId="27DEEAE2" w:rsidR="00444C92" w:rsidRPr="00836B94" w:rsidRDefault="00F244A6" w:rsidP="00D91ACA">
            <w:pPr>
              <w:rPr>
                <w:b/>
              </w:rPr>
            </w:pPr>
            <w:r>
              <w:t>N/A</w:t>
            </w:r>
          </w:p>
        </w:tc>
      </w:tr>
    </w:tbl>
    <w:p w14:paraId="507A4BBB" w14:textId="77777777" w:rsidR="001A5851" w:rsidRDefault="001A5851" w:rsidP="00444C92">
      <w:pPr>
        <w:pStyle w:val="Heading2"/>
      </w:pPr>
      <w:r w:rsidRPr="00310987">
        <w:t>Course Format</w:t>
      </w:r>
      <w:r w:rsidR="00C67BBA" w:rsidRPr="00310987">
        <w:t xml:space="preserve"> </w:t>
      </w:r>
    </w:p>
    <w:p w14:paraId="7EB8188D" w14:textId="77777777" w:rsidR="00D91ACA" w:rsidRPr="00D91ACA" w:rsidRDefault="00D91ACA" w:rsidP="00D91ACA">
      <w:pPr>
        <w:rPr>
          <w:lang w:eastAsia="en-US"/>
        </w:rPr>
      </w:pPr>
      <w:r>
        <w:rPr>
          <w:lang w:eastAsia="en-US"/>
        </w:rPr>
        <w:t>Lecture/Discussion</w:t>
      </w:r>
    </w:p>
    <w:p w14:paraId="7792CE55" w14:textId="77777777" w:rsidR="00444C92" w:rsidRPr="008418A1" w:rsidRDefault="00444C92" w:rsidP="00444C92">
      <w:pPr>
        <w:pStyle w:val="Heading2"/>
      </w:pPr>
      <w:r w:rsidRPr="008418A1">
        <w:t>Faculty</w:t>
      </w:r>
      <w:r w:rsidR="00D91ACA">
        <w:t xml:space="preserve"> Web Page and MYSJSU Messaging</w:t>
      </w:r>
    </w:p>
    <w:p w14:paraId="56028F7C" w14:textId="77777777" w:rsidR="00444C92" w:rsidRPr="00E27887" w:rsidRDefault="00F61C24" w:rsidP="00444C92">
      <w:pPr>
        <w:rPr>
          <w:i/>
        </w:rPr>
      </w:pPr>
      <w:r w:rsidRPr="00E27887">
        <w:rPr>
          <w:i/>
          <w:highlight w:val="lightGray"/>
        </w:rPr>
        <w:t>C</w:t>
      </w:r>
      <w:r w:rsidR="00444C92" w:rsidRPr="00E27887">
        <w:rPr>
          <w:i/>
          <w:highlight w:val="lightGray"/>
        </w:rPr>
        <w:t>ourse materials such as syllabus, handouts</w:t>
      </w:r>
      <w:r w:rsidRPr="00E27887">
        <w:rPr>
          <w:i/>
          <w:highlight w:val="lightGray"/>
        </w:rPr>
        <w:t>, notes</w:t>
      </w:r>
      <w:r w:rsidR="00444C92" w:rsidRPr="00E27887">
        <w:rPr>
          <w:i/>
          <w:highlight w:val="lightGray"/>
        </w:rPr>
        <w:t xml:space="preserve">, </w:t>
      </w:r>
      <w:r w:rsidRPr="00E27887">
        <w:rPr>
          <w:i/>
          <w:highlight w:val="lightGray"/>
        </w:rPr>
        <w:t xml:space="preserve">assignment instructions, </w:t>
      </w:r>
      <w:r w:rsidR="00444C92" w:rsidRPr="00E27887">
        <w:rPr>
          <w:i/>
          <w:highlight w:val="lightGray"/>
        </w:rPr>
        <w:t xml:space="preserve">etc. </w:t>
      </w:r>
      <w:r w:rsidRPr="00E27887">
        <w:rPr>
          <w:i/>
          <w:highlight w:val="lightGray"/>
        </w:rPr>
        <w:t>can</w:t>
      </w:r>
      <w:r w:rsidR="00444C92" w:rsidRPr="00E27887">
        <w:rPr>
          <w:i/>
          <w:highlight w:val="lightGray"/>
        </w:rPr>
        <w:t xml:space="preserve"> be found on </w:t>
      </w:r>
      <w:r w:rsidR="00A10019" w:rsidRPr="00E27887">
        <w:rPr>
          <w:i/>
          <w:highlight w:val="lightGray"/>
        </w:rPr>
        <w:t xml:space="preserve"> </w:t>
      </w:r>
      <w:hyperlink r:id="rId8" w:history="1">
        <w:r w:rsidR="00C26AB0" w:rsidRPr="00FF6F9D">
          <w:rPr>
            <w:rStyle w:val="Hyperlink"/>
            <w:i/>
            <w:highlight w:val="lightGray"/>
          </w:rPr>
          <w:t xml:space="preserve">Canvas Leaning Management System </w:t>
        </w:r>
        <w:r w:rsidR="00A10019" w:rsidRPr="00FF6F9D">
          <w:rPr>
            <w:rStyle w:val="Hyperlink"/>
            <w:i/>
            <w:highlight w:val="lightGray"/>
          </w:rPr>
          <w:t xml:space="preserve">course </w:t>
        </w:r>
        <w:r w:rsidR="00C26AB0" w:rsidRPr="00FF6F9D">
          <w:rPr>
            <w:rStyle w:val="Hyperlink"/>
            <w:i/>
            <w:highlight w:val="lightGray"/>
          </w:rPr>
          <w:t xml:space="preserve">login </w:t>
        </w:r>
        <w:r w:rsidR="00A10019" w:rsidRPr="00FF6F9D">
          <w:rPr>
            <w:rStyle w:val="Hyperlink"/>
            <w:i/>
            <w:highlight w:val="lightGray"/>
          </w:rPr>
          <w:t>website</w:t>
        </w:r>
      </w:hyperlink>
      <w:r w:rsidR="00247BD6" w:rsidRPr="00E27887">
        <w:rPr>
          <w:i/>
          <w:highlight w:val="lightGray"/>
        </w:rPr>
        <w:t xml:space="preserve"> at http://sjsu.instructure.com</w:t>
      </w:r>
      <w:r w:rsidR="00444C92" w:rsidRPr="00E27887">
        <w:rPr>
          <w:i/>
          <w:highlight w:val="lightGray"/>
        </w:rPr>
        <w:t>. You are responsible for regularly checking with the messaging system through</w:t>
      </w:r>
      <w:r w:rsidR="00FF6F9D">
        <w:rPr>
          <w:i/>
          <w:highlight w:val="lightGray"/>
        </w:rPr>
        <w:t xml:space="preserve"> </w:t>
      </w:r>
      <w:hyperlink r:id="rId9" w:history="1">
        <w:r w:rsidR="00FF6F9D" w:rsidRPr="00FF6F9D">
          <w:rPr>
            <w:rStyle w:val="Hyperlink"/>
            <w:i/>
            <w:highlight w:val="lightGray"/>
          </w:rPr>
          <w:t>MySJSU</w:t>
        </w:r>
        <w:r w:rsidR="00247BD6" w:rsidRPr="00FF6F9D">
          <w:rPr>
            <w:rStyle w:val="Hyperlink"/>
            <w:i/>
            <w:highlight w:val="lightGray"/>
          </w:rPr>
          <w:t xml:space="preserve"> </w:t>
        </w:r>
      </w:hyperlink>
      <w:r w:rsidR="00247BD6" w:rsidRPr="00E27887">
        <w:rPr>
          <w:i/>
          <w:highlight w:val="lightGray"/>
        </w:rPr>
        <w:t>at http://my.sjsu.edu</w:t>
      </w:r>
      <w:r w:rsidR="00444C92" w:rsidRPr="00E27887">
        <w:rPr>
          <w:i/>
          <w:highlight w:val="lightGray"/>
        </w:rPr>
        <w:t xml:space="preserve"> (or other communication system as indicated by the instructor)</w:t>
      </w:r>
      <w:r w:rsidRPr="00E27887">
        <w:rPr>
          <w:i/>
          <w:highlight w:val="lightGray"/>
        </w:rPr>
        <w:t xml:space="preserve"> to learn </w:t>
      </w:r>
      <w:r w:rsidR="000C0FC5" w:rsidRPr="00E27887">
        <w:rPr>
          <w:i/>
          <w:highlight w:val="lightGray"/>
        </w:rPr>
        <w:t xml:space="preserve">of </w:t>
      </w:r>
      <w:r w:rsidRPr="00E27887">
        <w:rPr>
          <w:i/>
          <w:highlight w:val="lightGray"/>
        </w:rPr>
        <w:t>any updates</w:t>
      </w:r>
      <w:r w:rsidR="00444C92" w:rsidRPr="00E27887">
        <w:rPr>
          <w:i/>
          <w:highlight w:val="lightGray"/>
        </w:rPr>
        <w:t>.</w:t>
      </w:r>
      <w:r w:rsidR="00444C92" w:rsidRPr="00E27887">
        <w:rPr>
          <w:i/>
        </w:rPr>
        <w:t xml:space="preserve"> </w:t>
      </w:r>
    </w:p>
    <w:p w14:paraId="3B476495" w14:textId="77777777" w:rsidR="00444C92" w:rsidRPr="00310987" w:rsidRDefault="00444C92" w:rsidP="00444C92">
      <w:pPr>
        <w:pStyle w:val="Heading2"/>
      </w:pPr>
      <w:r w:rsidRPr="00310987">
        <w:t xml:space="preserve">Course Description </w:t>
      </w:r>
      <w:r w:rsidR="008B3FA0" w:rsidRPr="0048282F">
        <w:t>(Required)</w:t>
      </w:r>
    </w:p>
    <w:p w14:paraId="3CEA8E7B" w14:textId="44297EAF" w:rsidR="00444C92" w:rsidRPr="00310987" w:rsidRDefault="00F244A6" w:rsidP="00836B94">
      <w:pPr>
        <w:shd w:val="clear" w:color="auto" w:fill="D9D9D9"/>
        <w:rPr>
          <w:i/>
        </w:rPr>
      </w:pPr>
      <w:r>
        <w:t>This course introduces you to English literature from its early beginnings through the 18</w:t>
      </w:r>
      <w:r>
        <w:rPr>
          <w:vertAlign w:val="superscript"/>
        </w:rPr>
        <w:t>th</w:t>
      </w:r>
      <w:r>
        <w:t xml:space="preserve"> century, with some emphasis on the beginnings of literature in America. With each text, we will consider the relationships between the literary artifact and the culture that produced it.  Lectures and discussions will be organized around themes designed to address social and political aspects of the various cultures we will study.  We will specifically address the themes related to heroes and monsters/villains, courtship, marriage, gender construction, and colonialization.</w:t>
      </w:r>
      <w:r w:rsidR="00D91ACA">
        <w:t xml:space="preserve"> </w:t>
      </w:r>
    </w:p>
    <w:p w14:paraId="0D68E32C" w14:textId="5EF1BE02" w:rsidR="008418A1" w:rsidRDefault="008418A1" w:rsidP="00AA24D3">
      <w:pPr>
        <w:pStyle w:val="Heading2"/>
      </w:pPr>
      <w:r w:rsidRPr="00310987">
        <w:t xml:space="preserve">Course Goals </w:t>
      </w:r>
    </w:p>
    <w:p w14:paraId="0BDFC456" w14:textId="7B045075" w:rsidR="008418A1" w:rsidRDefault="00A26203" w:rsidP="00A26203">
      <w:r>
        <w:t>The primary goals of this course are to introduce you to major works</w:t>
      </w:r>
      <w:r w:rsidR="00F244A6">
        <w:t xml:space="preserve"> in English literature, from its early beginnings through the 18</w:t>
      </w:r>
      <w:r w:rsidR="00F244A6" w:rsidRPr="00F244A6">
        <w:rPr>
          <w:vertAlign w:val="superscript"/>
        </w:rPr>
        <w:t>th</w:t>
      </w:r>
      <w:r w:rsidR="00F244A6">
        <w:t xml:space="preserve"> century. In the latter part of the course, we will be paying special attention to the ways in which the “discovery” and colonization of Ameri</w:t>
      </w:r>
      <w:r w:rsidR="00D31C73">
        <w:t>ca is represented in literary texts</w:t>
      </w:r>
      <w:r w:rsidR="00F244A6">
        <w:t xml:space="preserve"> on both continents. With each text, we will consider the relationships between the literary artifact and the culture that produced it. Lectures and discussions will be organized around themes designed to address social and political aspects of the various cultures we will study. </w:t>
      </w:r>
    </w:p>
    <w:p w14:paraId="25C81546" w14:textId="77777777" w:rsidR="00F244A6" w:rsidRPr="00E27887" w:rsidRDefault="00F244A6" w:rsidP="00A26203">
      <w:pPr>
        <w:rPr>
          <w:i/>
        </w:rPr>
      </w:pPr>
    </w:p>
    <w:p w14:paraId="2D7B7BFE" w14:textId="739BBB6A" w:rsidR="001509AA" w:rsidRDefault="001509AA" w:rsidP="00F053DC">
      <w:pPr>
        <w:rPr>
          <w:b/>
          <w:lang w:eastAsia="en-US"/>
        </w:rPr>
      </w:pPr>
      <w:r w:rsidRPr="001509AA">
        <w:rPr>
          <w:b/>
          <w:lang w:eastAsia="en-US"/>
        </w:rPr>
        <w:lastRenderedPageBreak/>
        <w:t>Program Learning Objectives (PLOs)</w:t>
      </w:r>
    </w:p>
    <w:p w14:paraId="3871CEF0" w14:textId="77777777" w:rsidR="001509AA" w:rsidRPr="001509AA" w:rsidRDefault="001509AA" w:rsidP="00F053DC">
      <w:pPr>
        <w:rPr>
          <w:b/>
          <w:lang w:eastAsia="en-US"/>
        </w:rPr>
      </w:pPr>
    </w:p>
    <w:p w14:paraId="227BD74F" w14:textId="7B134643" w:rsidR="00F053DC" w:rsidRPr="00310987" w:rsidRDefault="00F053DC" w:rsidP="00F053DC">
      <w:r w:rsidRPr="00310987">
        <w:rPr>
          <w:lang w:eastAsia="en-US"/>
        </w:rPr>
        <w:t>Upon</w:t>
      </w:r>
      <w:r w:rsidRPr="00310987">
        <w:t xml:space="preserve"> successful completion of this course, students will be able to: </w:t>
      </w:r>
    </w:p>
    <w:p w14:paraId="03FFB0CB" w14:textId="77777777" w:rsidR="00F053DC" w:rsidRPr="00310987" w:rsidRDefault="00F053DC" w:rsidP="00F053DC">
      <w:pPr>
        <w:rPr>
          <w:lang w:eastAsia="en-US"/>
        </w:rPr>
      </w:pPr>
    </w:p>
    <w:p w14:paraId="44451441" w14:textId="132FDBDA" w:rsidR="00A26203" w:rsidRDefault="00A26203" w:rsidP="00A26203">
      <w:pPr>
        <w:numPr>
          <w:ilvl w:val="0"/>
          <w:numId w:val="24"/>
        </w:numPr>
      </w:pPr>
      <w:r>
        <w:t>Read closely in a variety of forms, styles, structures, and modes, and articulate the value of close reading in the study of literature, creative writing, and/or rhetoric (Familiarity with dramatic forms through reading, lecture, and discussion-assessed by participation grade</w:t>
      </w:r>
      <w:r w:rsidR="003F0634">
        <w:t>, close reading skill assessed by poetic explication – Essay 1</w:t>
      </w:r>
      <w:r>
        <w:t>)</w:t>
      </w:r>
    </w:p>
    <w:p w14:paraId="2926DEFA" w14:textId="77777777" w:rsidR="00A26203" w:rsidRDefault="00A26203" w:rsidP="00A26203">
      <w:pPr>
        <w:numPr>
          <w:ilvl w:val="0"/>
          <w:numId w:val="24"/>
        </w:numPr>
      </w:pPr>
      <w:r>
        <w:t>Show familiarity with major literary works, genres, periods, and critical approaches to British literature (Final Exam)</w:t>
      </w:r>
    </w:p>
    <w:p w14:paraId="5344DCBC" w14:textId="77777777" w:rsidR="00A26203" w:rsidRPr="00792D86" w:rsidRDefault="00A26203" w:rsidP="00A26203">
      <w:pPr>
        <w:numPr>
          <w:ilvl w:val="0"/>
          <w:numId w:val="24"/>
        </w:numPr>
      </w:pPr>
      <w:r>
        <w:t>Write clearly, effectively, and creatively (Essays, Film Reviews, Final Project)</w:t>
      </w:r>
    </w:p>
    <w:p w14:paraId="13D4EFD1" w14:textId="77777777" w:rsidR="00A26203" w:rsidRDefault="00A26203" w:rsidP="00A26203">
      <w:pPr>
        <w:numPr>
          <w:ilvl w:val="0"/>
          <w:numId w:val="24"/>
        </w:numPr>
      </w:pPr>
      <w:r>
        <w:t>Develop and carry out research projects (Performance Research Project)</w:t>
      </w:r>
    </w:p>
    <w:p w14:paraId="6B00DE65" w14:textId="77777777" w:rsidR="00A26203" w:rsidRDefault="00A26203" w:rsidP="00A26203">
      <w:pPr>
        <w:numPr>
          <w:ilvl w:val="0"/>
          <w:numId w:val="24"/>
        </w:numPr>
      </w:pPr>
      <w:r>
        <w:t>Articulate the relations among culture, history, and texts (Lecture, Final, Essays)</w:t>
      </w:r>
    </w:p>
    <w:p w14:paraId="0894F411" w14:textId="77777777" w:rsidR="00D91ACA" w:rsidRPr="009C70CA" w:rsidRDefault="00D91ACA" w:rsidP="00D91ACA"/>
    <w:p w14:paraId="2B200231" w14:textId="43A8048F" w:rsidR="00DC1D8A" w:rsidRDefault="00D91ACA" w:rsidP="00D91ACA">
      <w:pPr>
        <w:pStyle w:val="BodyText"/>
      </w:pPr>
      <w:r>
        <w:t xml:space="preserve">This course serves the department’s Student Learning Objectives 1 and 2 (LO1 and LO2) by introducing you to </w:t>
      </w:r>
      <w:r w:rsidR="00D31C73">
        <w:t>a variety of literary forms.  You will read poetry, drama, speeches, travel literature, and narrative fiction</w:t>
      </w:r>
      <w:r w:rsidR="001509AA">
        <w:t>.</w:t>
      </w:r>
    </w:p>
    <w:p w14:paraId="76911346" w14:textId="51EA8674" w:rsidR="00D91ACA" w:rsidRDefault="00D91ACA" w:rsidP="00D91ACA">
      <w:pPr>
        <w:pStyle w:val="BodyText"/>
      </w:pPr>
      <w:r>
        <w:t xml:space="preserve">Students are asked to write </w:t>
      </w:r>
      <w:r w:rsidR="00DC1D8A">
        <w:t>two</w:t>
      </w:r>
      <w:r>
        <w:t xml:space="preserve"> essays for this course (a total of at least </w:t>
      </w:r>
      <w:r w:rsidR="00DC1D8A">
        <w:t>3,000</w:t>
      </w:r>
      <w:r>
        <w:t xml:space="preserve"> words) including one research assignment; this clearly serves Learning Objectives 3 and 4 (LO3 and LO4).  Assessment of student success in LO3 and LO4 will be measured by their grades on these essays.</w:t>
      </w:r>
    </w:p>
    <w:p w14:paraId="1635A9DB" w14:textId="1FC3C070" w:rsidR="002041FF" w:rsidRPr="00310987" w:rsidRDefault="00D91ACA" w:rsidP="00A26203">
      <w:pPr>
        <w:pStyle w:val="BodyText"/>
      </w:pPr>
      <w:r>
        <w:t xml:space="preserve">All of my classes are discussion based.  Students are asked to come to class prepared to talk about the material they read, and my lectures aim to help students to realize the relations among culture, history, and the texts we read.  The ability to articulate the relationships </w:t>
      </w:r>
      <w:r w:rsidR="00DC1D8A">
        <w:t xml:space="preserve">listed in Learning Objective 5 </w:t>
      </w:r>
      <w:r>
        <w:t>(LO5) is measured by the students’ participation in the course.</w:t>
      </w:r>
    </w:p>
    <w:p w14:paraId="1BCD5C96" w14:textId="77777777" w:rsidR="00FA1BE4" w:rsidRDefault="00FA1BE4" w:rsidP="00FA1BE4"/>
    <w:p w14:paraId="30659C84" w14:textId="77777777" w:rsidR="00444C92" w:rsidRPr="00FA1BE4" w:rsidRDefault="00FA1BE4" w:rsidP="00FA1BE4">
      <w:pPr>
        <w:rPr>
          <w:b/>
        </w:rPr>
      </w:pPr>
      <w:r w:rsidRPr="00FA1BE4">
        <w:rPr>
          <w:b/>
        </w:rPr>
        <w:t xml:space="preserve"> </w:t>
      </w:r>
      <w:r w:rsidR="00444C92" w:rsidRPr="00FA1BE4">
        <w:rPr>
          <w:b/>
        </w:rPr>
        <w:t xml:space="preserve">Required Texts/Readings </w:t>
      </w:r>
      <w:r w:rsidR="008B3FA0" w:rsidRPr="00FA1BE4">
        <w:rPr>
          <w:b/>
        </w:rPr>
        <w:t>(Required)</w:t>
      </w:r>
    </w:p>
    <w:p w14:paraId="45324C5E" w14:textId="77777777" w:rsidR="00444C92" w:rsidRPr="00310987" w:rsidRDefault="00444C92" w:rsidP="00444C92">
      <w:pPr>
        <w:pStyle w:val="Heading3"/>
      </w:pPr>
      <w:r w:rsidRPr="00310987">
        <w:t>Textbook</w:t>
      </w:r>
    </w:p>
    <w:p w14:paraId="0CA291EA" w14:textId="7F285709" w:rsidR="001509AA" w:rsidRDefault="001509AA" w:rsidP="00B21C1A">
      <w:r>
        <w:rPr>
          <w:i/>
        </w:rPr>
        <w:t>The Broadview Anthology of British Literature</w:t>
      </w:r>
      <w:r>
        <w:t>, 3</w:t>
      </w:r>
      <w:r w:rsidRPr="001509AA">
        <w:rPr>
          <w:vertAlign w:val="superscript"/>
        </w:rPr>
        <w:t>rd</w:t>
      </w:r>
      <w:r>
        <w:t xml:space="preserve"> Edition, “The Medieval Period.” ISBN 978-1-55481-202-8</w:t>
      </w:r>
    </w:p>
    <w:p w14:paraId="300D3A04" w14:textId="77777777" w:rsidR="001509AA" w:rsidRDefault="001509AA" w:rsidP="00B21C1A">
      <w:pPr>
        <w:rPr>
          <w:i/>
        </w:rPr>
      </w:pPr>
    </w:p>
    <w:p w14:paraId="499FF632" w14:textId="41FD5E08" w:rsidR="001509AA" w:rsidRPr="001509AA" w:rsidRDefault="001509AA" w:rsidP="00B21C1A">
      <w:r w:rsidRPr="001509AA">
        <w:rPr>
          <w:i/>
        </w:rPr>
        <w:t>The Broadview Anthology of British Literature</w:t>
      </w:r>
      <w:r>
        <w:t>, 3</w:t>
      </w:r>
      <w:r w:rsidRPr="001509AA">
        <w:rPr>
          <w:vertAlign w:val="superscript"/>
        </w:rPr>
        <w:t>rd</w:t>
      </w:r>
      <w:r>
        <w:t xml:space="preserve"> Edition, “The Renaissance and Early Seventeenth Century.” ISBN 978-1-55481-290-5.</w:t>
      </w:r>
    </w:p>
    <w:p w14:paraId="441DB033" w14:textId="77777777" w:rsidR="001509AA" w:rsidRDefault="001509AA" w:rsidP="00B21C1A">
      <w:pPr>
        <w:rPr>
          <w:rFonts w:eastAsia="Times New Roman"/>
          <w:lang w:eastAsia="en-US"/>
        </w:rPr>
      </w:pPr>
    </w:p>
    <w:p w14:paraId="4164B8BA" w14:textId="5A363A57" w:rsidR="00B21C1A" w:rsidRPr="00B21C1A" w:rsidRDefault="00B21C1A" w:rsidP="00B21C1A">
      <w:pPr>
        <w:rPr>
          <w:rFonts w:eastAsia="Times New Roman"/>
          <w:lang w:eastAsia="en-US"/>
        </w:rPr>
      </w:pPr>
      <w:r>
        <w:rPr>
          <w:rFonts w:eastAsia="Times New Roman"/>
          <w:lang w:eastAsia="en-US"/>
        </w:rPr>
        <w:t xml:space="preserve">Shakespeare, </w:t>
      </w:r>
      <w:r w:rsidRPr="00B21C1A">
        <w:rPr>
          <w:rFonts w:eastAsia="Times New Roman"/>
          <w:i/>
          <w:lang w:eastAsia="en-US"/>
        </w:rPr>
        <w:t>The Tempest</w:t>
      </w:r>
      <w:r>
        <w:rPr>
          <w:rFonts w:eastAsia="Times New Roman"/>
          <w:i/>
          <w:lang w:eastAsia="en-US"/>
        </w:rPr>
        <w:t xml:space="preserve">, </w:t>
      </w:r>
      <w:r w:rsidR="00B027AE">
        <w:rPr>
          <w:rFonts w:eastAsia="Times New Roman"/>
          <w:lang w:eastAsia="en-US"/>
        </w:rPr>
        <w:t xml:space="preserve">Folger Edition, </w:t>
      </w:r>
      <w:r>
        <w:rPr>
          <w:rFonts w:eastAsia="Times New Roman"/>
          <w:lang w:eastAsia="en-US"/>
        </w:rPr>
        <w:t xml:space="preserve">ISBN </w:t>
      </w:r>
      <w:r w:rsidRPr="00B21C1A">
        <w:rPr>
          <w:rFonts w:eastAsia="Times New Roman"/>
          <w:lang w:eastAsia="en-US"/>
        </w:rPr>
        <w:t>978-0743482837</w:t>
      </w:r>
    </w:p>
    <w:p w14:paraId="452807CC" w14:textId="23CD513F" w:rsidR="00B21C1A" w:rsidRPr="00B21C1A" w:rsidRDefault="00B21C1A" w:rsidP="00CF5AEA">
      <w:pPr>
        <w:rPr>
          <w:rFonts w:eastAsia="Times New Roman"/>
          <w:lang w:eastAsia="en-US"/>
        </w:rPr>
      </w:pPr>
    </w:p>
    <w:p w14:paraId="7DE7A899" w14:textId="77777777" w:rsidR="00DC1D8A" w:rsidRPr="00310987" w:rsidRDefault="00DC1D8A" w:rsidP="00DC1D8A">
      <w:pPr>
        <w:pStyle w:val="Heading3"/>
      </w:pPr>
      <w:r w:rsidRPr="00310987">
        <w:t>Other Readings</w:t>
      </w:r>
    </w:p>
    <w:p w14:paraId="3B3BFB2E" w14:textId="01598FDA" w:rsidR="00DC1D8A" w:rsidRPr="00310987" w:rsidRDefault="00DC1D8A" w:rsidP="00DC1D8A">
      <w:pPr>
        <w:rPr>
          <w:i/>
        </w:rPr>
      </w:pPr>
      <w:r>
        <w:t xml:space="preserve">Recommended: </w:t>
      </w:r>
      <w:proofErr w:type="spellStart"/>
      <w:r>
        <w:t>Murfin</w:t>
      </w:r>
      <w:proofErr w:type="spellEnd"/>
      <w:r>
        <w:t xml:space="preserve"> and Ray: </w:t>
      </w:r>
      <w:r>
        <w:rPr>
          <w:i/>
        </w:rPr>
        <w:t>The Bedford Glossary of Critical and Literary Terms</w:t>
      </w:r>
      <w:r>
        <w:t xml:space="preserve">.  ISBN </w:t>
      </w:r>
      <w:r>
        <w:rPr>
          <w:rStyle w:val="a-size-base"/>
          <w:rFonts w:eastAsia="Times New Roman"/>
        </w:rPr>
        <w:t>978-0312461881</w:t>
      </w:r>
    </w:p>
    <w:p w14:paraId="4C2A29EE" w14:textId="1636029C" w:rsidR="00BB5B99" w:rsidRPr="00BB5B99" w:rsidRDefault="00BB5B99" w:rsidP="00444C92">
      <w:pPr>
        <w:pStyle w:val="Heading3"/>
        <w:rPr>
          <w:b w:val="0"/>
        </w:rPr>
      </w:pPr>
      <w:r>
        <w:rPr>
          <w:b w:val="0"/>
        </w:rPr>
        <w:t xml:space="preserve">Links to digital versions of a few other required texts are provided on the Reading Schedule. </w:t>
      </w:r>
    </w:p>
    <w:p w14:paraId="04A2826C" w14:textId="14B3AE15"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97216B7" w14:textId="77777777" w:rsidR="00AF33FB" w:rsidRPr="00310987" w:rsidRDefault="00FA1BE4" w:rsidP="00FA1BE4">
      <w:pPr>
        <w:shd w:val="clear" w:color="auto" w:fill="D9D9D9"/>
        <w:rPr>
          <w:i/>
        </w:rPr>
      </w:pPr>
      <w:r>
        <w:t xml:space="preserve">MLA Guidelines available here: </w:t>
      </w:r>
      <w:hyperlink r:id="rId10" w:history="1">
        <w:r w:rsidRPr="004F5BCE">
          <w:rPr>
            <w:rStyle w:val="Hyperlink"/>
          </w:rPr>
          <w:t>https://owl.english.purdue.edu/owl/resource/747/01/</w:t>
        </w:r>
      </w:hyperlink>
      <w:r>
        <w:t xml:space="preserve"> </w:t>
      </w:r>
    </w:p>
    <w:p w14:paraId="58DE4E22" w14:textId="77777777" w:rsidR="002D1995" w:rsidRDefault="002D1995" w:rsidP="00AF33FB">
      <w:pPr>
        <w:pStyle w:val="Heading2"/>
      </w:pPr>
      <w:r w:rsidRPr="00310987">
        <w:lastRenderedPageBreak/>
        <w:t>Course Requirements and Assignments</w:t>
      </w:r>
      <w:r w:rsidR="00C06E40">
        <w:t xml:space="preserve"> </w:t>
      </w:r>
      <w:r w:rsidR="00C06E40" w:rsidRPr="0048282F">
        <w:t>(Required)</w:t>
      </w:r>
    </w:p>
    <w:p w14:paraId="3AAE53F7" w14:textId="77777777" w:rsidR="00DC1D8A" w:rsidRDefault="00DC1D8A" w:rsidP="00DC1D8A">
      <w:pPr>
        <w:pStyle w:val="Heading2"/>
      </w:pPr>
      <w:r>
        <w:t>Assignments and Grading Policy</w:t>
      </w:r>
    </w:p>
    <w:p w14:paraId="4CD7FC1A" w14:textId="037431E3" w:rsidR="00DC1D8A" w:rsidRDefault="00DC1D8A" w:rsidP="00DC1D8A">
      <w:r>
        <w:rPr>
          <w:b/>
        </w:rPr>
        <w:t>Written Work:</w:t>
      </w:r>
      <w:r>
        <w:t xml:space="preserve">  You will be asked to write two formal essays (1,500 words each) for this class.  </w:t>
      </w:r>
      <w:r w:rsidR="001509AA">
        <w:t xml:space="preserve">Both essays </w:t>
      </w:r>
      <w:r w:rsidR="003F0634">
        <w:t xml:space="preserve">will </w:t>
      </w:r>
      <w:r w:rsidR="00BB5B99">
        <w:t>ask you to</w:t>
      </w:r>
      <w:r w:rsidR="003F0634">
        <w:t xml:space="preserve"> evaluate a specific topic over several texts and forms. </w:t>
      </w:r>
      <w:r>
        <w:t xml:space="preserve">Suggested topics will be </w:t>
      </w:r>
      <w:r w:rsidR="003F0634">
        <w:t xml:space="preserve">posted in advance. </w:t>
      </w:r>
      <w:r>
        <w:t>If you wish to write on a topic of your own devising, you should discuss the project with me well in advance. Th</w:t>
      </w:r>
      <w:r w:rsidR="003F0634">
        <w:t xml:space="preserve">ese are </w:t>
      </w:r>
      <w:r>
        <w:t>critical/analytical paper</w:t>
      </w:r>
      <w:r w:rsidR="003F0634">
        <w:t>s</w:t>
      </w:r>
      <w:r>
        <w:t xml:space="preserve"> that should clearly demonstrate your own engagement with the texts rather than</w:t>
      </w:r>
      <w:r w:rsidR="003F0634">
        <w:t xml:space="preserve"> </w:t>
      </w:r>
      <w:r>
        <w:t>reformulat</w:t>
      </w:r>
      <w:r w:rsidR="003F0634">
        <w:t>ing</w:t>
      </w:r>
      <w:r>
        <w:t xml:space="preserve"> someone else’s ideas. Your success on th</w:t>
      </w:r>
      <w:r w:rsidR="003F0634">
        <w:t>ese</w:t>
      </w:r>
      <w:r>
        <w:t xml:space="preserve"> assignment</w:t>
      </w:r>
      <w:r w:rsidR="003F0634">
        <w:t>s</w:t>
      </w:r>
      <w:r>
        <w:t xml:space="preserve"> will be directly proportional to your knowledge and understanding of the texts.</w:t>
      </w:r>
    </w:p>
    <w:p w14:paraId="14EF5554" w14:textId="77777777" w:rsidR="00DC1D8A" w:rsidRDefault="00DC1D8A" w:rsidP="00DC1D8A"/>
    <w:p w14:paraId="3CA92FDD" w14:textId="77777777" w:rsidR="00DC1D8A" w:rsidRDefault="00DC1D8A" w:rsidP="00DC1D8A">
      <w:r>
        <w:rPr>
          <w:b/>
        </w:rPr>
        <w:t>Format:</w:t>
      </w:r>
      <w:r>
        <w:t xml:space="preserve"> Your essay should follow MLA style guidelines which are available here: </w:t>
      </w:r>
      <w:hyperlink r:id="rId11" w:history="1">
        <w:r>
          <w:rPr>
            <w:rStyle w:val="Hyperlink"/>
          </w:rPr>
          <w:t>https://owl.english.purdue.edu/owl/resource/747/01/</w:t>
        </w:r>
      </w:hyperlink>
      <w:r>
        <w:t xml:space="preserve"> </w:t>
      </w:r>
    </w:p>
    <w:p w14:paraId="419DFB8A" w14:textId="77777777" w:rsidR="00DC1D8A" w:rsidRDefault="00DC1D8A" w:rsidP="00DC1D8A"/>
    <w:p w14:paraId="64C7B732" w14:textId="77777777" w:rsidR="00DC1D8A" w:rsidRDefault="00DC1D8A" w:rsidP="00DC1D8A"/>
    <w:p w14:paraId="5CCBDFBD" w14:textId="77777777" w:rsidR="00DC1D8A" w:rsidRDefault="00DC1D8A" w:rsidP="00DC1D8A">
      <w:r>
        <w:rPr>
          <w:b/>
        </w:rPr>
        <w:t xml:space="preserve">Late Papers:  </w:t>
      </w:r>
      <w:r>
        <w:t>Turning in assignments late is unfair to the other students; therefore, I will lower your grade one full letter for each day the paper is late.  In the case of emergencies, please see me.</w:t>
      </w:r>
    </w:p>
    <w:p w14:paraId="1453490D" w14:textId="77777777" w:rsidR="00DC1D8A" w:rsidRDefault="00DC1D8A" w:rsidP="00DC1D8A"/>
    <w:p w14:paraId="5A264712" w14:textId="77777777" w:rsidR="00DC1D8A" w:rsidRDefault="00DC1D8A" w:rsidP="00DC1D8A">
      <w:pPr>
        <w:rPr>
          <w:b/>
        </w:rPr>
      </w:pPr>
      <w:r>
        <w:rPr>
          <w:b/>
        </w:rPr>
        <w:t xml:space="preserve">I do not accept emailed assignments under any circumstances.  </w:t>
      </w:r>
    </w:p>
    <w:p w14:paraId="09816518" w14:textId="77777777" w:rsidR="00DC1D8A" w:rsidRDefault="00DC1D8A" w:rsidP="00DC1D8A">
      <w:pPr>
        <w:rPr>
          <w:b/>
        </w:rPr>
      </w:pPr>
    </w:p>
    <w:p w14:paraId="440FFE3E" w14:textId="41B047DD" w:rsidR="00DC1D8A" w:rsidRDefault="00DC1D8A" w:rsidP="00DC1D8A">
      <w:r>
        <w:rPr>
          <w:b/>
        </w:rPr>
        <w:t xml:space="preserve">Weekly In-Class “Think Sheets”: </w:t>
      </w:r>
      <w:r>
        <w:t xml:space="preserve">To promote discussion, brief responses to the readings will be assigned most weeks.  The questions or prompts will be announced in class and you will be given exactly 15 minutes of class time to write on the prompt.  I will usually assign this at the beginning of the period, so if you are late to class, you will not have as much time to write as the other students. These assignments will represent 5% of your overall grade for the course.  No make-up assignments will be offered for this; if you miss class, you will have to take a zero for the day. Students who write nothing or write frivolously will not receive credit for the exercise.  </w:t>
      </w:r>
    </w:p>
    <w:p w14:paraId="34997707" w14:textId="77777777" w:rsidR="00DC1D8A" w:rsidRDefault="00DC1D8A" w:rsidP="00DC1D8A"/>
    <w:p w14:paraId="7E780D99" w14:textId="22C1BE2E" w:rsidR="00DC1D8A" w:rsidRDefault="00DC1D8A" w:rsidP="00DC1D8A">
      <w:pPr>
        <w:tabs>
          <w:tab w:val="left" w:pos="-720"/>
        </w:tabs>
        <w:suppressAutoHyphens/>
      </w:pPr>
      <w:r>
        <w:rPr>
          <w:b/>
        </w:rPr>
        <w:t xml:space="preserve">Participation: </w:t>
      </w:r>
      <w:r>
        <w:t xml:space="preserve">A portion (10%) of your grade will be based on your participation in class; therefore, regular attendance is imperative.  If for some reason you are forced to miss a class, it is your responsibility to find out what information and/or assignments you missed.  There will be no opportunity to make up missed quizzes or in-class exercises.  </w:t>
      </w:r>
    </w:p>
    <w:p w14:paraId="5EAEA06A" w14:textId="77777777" w:rsidR="00DC1D8A" w:rsidRDefault="00DC1D8A" w:rsidP="00DC1D8A">
      <w:pPr>
        <w:tabs>
          <w:tab w:val="left" w:pos="-720"/>
        </w:tabs>
        <w:suppressAutoHyphens/>
      </w:pPr>
    </w:p>
    <w:p w14:paraId="6C4CE9D5" w14:textId="77777777" w:rsidR="00DC1D8A" w:rsidRDefault="00DC1D8A" w:rsidP="00DC1D8A">
      <w:pPr>
        <w:tabs>
          <w:tab w:val="left" w:pos="-720"/>
        </w:tabs>
        <w:suppressAutoHyphens/>
      </w:pPr>
      <w:r>
        <w:t>In order to receive an A or a B in participation, you must do more than just attend class.  You must also demonstrate to me that you have been keeping up with the readings and thinking about the questions raised by the lectures.  I expect each of you to engage in the class discussions, participate in group activities, and come to class with the relevant materials.</w:t>
      </w:r>
    </w:p>
    <w:p w14:paraId="5DB37CB9" w14:textId="77777777" w:rsidR="00DC1D8A" w:rsidRDefault="00DC1D8A" w:rsidP="00DC1D8A">
      <w:pPr>
        <w:tabs>
          <w:tab w:val="left" w:pos="-720"/>
        </w:tabs>
        <w:suppressAutoHyphens/>
      </w:pPr>
    </w:p>
    <w:p w14:paraId="49C4B839" w14:textId="77777777" w:rsidR="00DC1D8A" w:rsidRDefault="00DC1D8A" w:rsidP="00DC1D8A">
      <w:r>
        <w:rPr>
          <w:b/>
        </w:rPr>
        <w:t>Course Recommendations:</w:t>
      </w:r>
      <w:r>
        <w:t xml:space="preserve">  Read the materials thoroughly before class.  Read actively: mark passages that interest you and formulate questions about them.  Come prepared to discuss what interests you about these texts.  Bring the appropriate texts with you to class so that you can follow the lectures and participate in the discussions. </w:t>
      </w:r>
    </w:p>
    <w:p w14:paraId="5E52FAF6" w14:textId="77777777" w:rsidR="00DC1D8A" w:rsidRDefault="00DC1D8A" w:rsidP="00DC1D8A"/>
    <w:p w14:paraId="3072A77A" w14:textId="6C37D238" w:rsidR="00DC1D8A" w:rsidRDefault="00DC1D8A" w:rsidP="00DC1D8A">
      <w:r>
        <w:rPr>
          <w:b/>
        </w:rPr>
        <w:t>Exams:</w:t>
      </w:r>
      <w:r>
        <w:t xml:space="preserve"> There will be two exams for </w:t>
      </w:r>
      <w:r w:rsidR="0085460D">
        <w:t>this course: a midterm at week 7</w:t>
      </w:r>
      <w:r>
        <w:t xml:space="preserve"> and a final exam.  The midterm will cover </w:t>
      </w:r>
      <w:r>
        <w:rPr>
          <w:i/>
        </w:rPr>
        <w:t>Beowulf</w:t>
      </w:r>
      <w:r>
        <w:t xml:space="preserve"> and the literature of the medieval period.  The final exam will emphasize the texts discussed </w:t>
      </w:r>
      <w:r w:rsidR="007A44B0">
        <w:t>after the midterm</w:t>
      </w:r>
      <w:r>
        <w:t>.  Examinations will include identification and explanation of selected passages, as well as essay responses. Please bring blue books to each exam.</w:t>
      </w:r>
    </w:p>
    <w:p w14:paraId="398FD3AE" w14:textId="77777777" w:rsidR="00DC1D8A" w:rsidRDefault="00DC1D8A" w:rsidP="00DC1D8A"/>
    <w:p w14:paraId="3BD0CC98" w14:textId="77777777" w:rsidR="00DC1D8A" w:rsidRPr="00310987" w:rsidRDefault="00DC1D8A" w:rsidP="00DC1D8A">
      <w:pPr>
        <w:pStyle w:val="Heading2"/>
      </w:pPr>
      <w:r w:rsidRPr="00310987">
        <w:lastRenderedPageBreak/>
        <w:t>Classroom Protocol</w:t>
      </w:r>
    </w:p>
    <w:p w14:paraId="5445AAD9" w14:textId="77777777" w:rsidR="00DC1D8A" w:rsidRDefault="00DC1D8A" w:rsidP="00DC1D8A">
      <w:pPr>
        <w:pStyle w:val="Heading3"/>
        <w:rPr>
          <w:b w:val="0"/>
          <w:sz w:val="24"/>
        </w:rPr>
      </w:pPr>
      <w:r>
        <w:rPr>
          <w:b w:val="0"/>
          <w:sz w:val="24"/>
        </w:rPr>
        <w:t xml:space="preserve">Please arrive on time and have the materials read in full by the time we begin to discuss them in class.  Regular attendance and active class participation are required.  I reserve the right to assign quizzes and other written assignments throughout the semester.  </w:t>
      </w:r>
    </w:p>
    <w:p w14:paraId="0FB8398D" w14:textId="77777777" w:rsidR="00DC1D8A" w:rsidRDefault="00DC1D8A" w:rsidP="00DC1D8A">
      <w:pPr>
        <w:pStyle w:val="Heading2"/>
        <w:rPr>
          <w:i/>
        </w:rPr>
      </w:pPr>
      <w:r>
        <w:t xml:space="preserve">Classroom Etiquette: </w:t>
      </w:r>
      <w:r>
        <w:rPr>
          <w:b w:val="0"/>
        </w:rPr>
        <w:t xml:space="preserve">Laptops, cell phones, or other computer devices have no place in this classroom.  You must keep these devices put away while you are here.  Bring the assigned texts to each class meeting and please arrive on time.  </w:t>
      </w:r>
    </w:p>
    <w:p w14:paraId="0AC4D29F" w14:textId="77777777" w:rsidR="00DC1D8A" w:rsidRPr="00310987" w:rsidRDefault="00DC1D8A" w:rsidP="00DC1D8A"/>
    <w:p w14:paraId="5DB88450" w14:textId="77777777" w:rsidR="00DC1D8A" w:rsidRPr="00310987" w:rsidRDefault="00DC1D8A" w:rsidP="00DC1D8A">
      <w:pPr>
        <w:pStyle w:val="Heading2"/>
      </w:pPr>
      <w:r w:rsidRPr="00310987">
        <w:t xml:space="preserve">Grading </w:t>
      </w:r>
      <w:r>
        <w:t>Information (Required</w:t>
      </w:r>
      <w:r w:rsidRPr="00310987">
        <w:t>)</w:t>
      </w:r>
    </w:p>
    <w:p w14:paraId="0AB8E38E" w14:textId="77777777" w:rsidR="00DC1D8A" w:rsidRDefault="00DC1D8A" w:rsidP="00DC1D8A">
      <w:r>
        <w:rPr>
          <w:b/>
        </w:rPr>
        <w:t>Grading Breakdown:</w:t>
      </w:r>
      <w:r>
        <w:rPr>
          <w:b/>
        </w:rPr>
        <w:tab/>
      </w:r>
      <w:r>
        <w:t>Class Participation: 10%</w:t>
      </w:r>
    </w:p>
    <w:p w14:paraId="71FE870A" w14:textId="77777777" w:rsidR="00DC1D8A" w:rsidRDefault="00DC1D8A" w:rsidP="00DC1D8A">
      <w:r>
        <w:tab/>
      </w:r>
      <w:r>
        <w:tab/>
      </w:r>
      <w:r>
        <w:tab/>
      </w:r>
      <w:r>
        <w:tab/>
        <w:t>Weekly “Think Sheet” Assignments: 5%</w:t>
      </w:r>
    </w:p>
    <w:p w14:paraId="4C8F7D46" w14:textId="5EEEA1AD" w:rsidR="00DC1D8A" w:rsidRDefault="00DC1D8A" w:rsidP="00DC1D8A">
      <w:r>
        <w:tab/>
      </w:r>
      <w:r>
        <w:tab/>
      </w:r>
      <w:r>
        <w:tab/>
      </w:r>
      <w:r>
        <w:tab/>
        <w:t>Essay 1:  15%</w:t>
      </w:r>
    </w:p>
    <w:p w14:paraId="03BD572C" w14:textId="11C5E6FD" w:rsidR="00DC1D8A" w:rsidRDefault="00DC1D8A" w:rsidP="00DC1D8A">
      <w:r>
        <w:tab/>
      </w:r>
      <w:r>
        <w:tab/>
      </w:r>
      <w:r>
        <w:tab/>
      </w:r>
      <w:r>
        <w:tab/>
        <w:t>Essay 2: 15%</w:t>
      </w:r>
    </w:p>
    <w:p w14:paraId="37C5BCF9" w14:textId="77777777" w:rsidR="00DC1D8A" w:rsidRDefault="00DC1D8A" w:rsidP="00DC1D8A">
      <w:r>
        <w:tab/>
      </w:r>
      <w:r>
        <w:tab/>
      </w:r>
      <w:r>
        <w:tab/>
      </w:r>
      <w:r>
        <w:tab/>
        <w:t>Midterm Exam: 25%</w:t>
      </w:r>
    </w:p>
    <w:p w14:paraId="37EF6E6E" w14:textId="77777777" w:rsidR="00DC1D8A" w:rsidRDefault="00DC1D8A" w:rsidP="00DC1D8A">
      <w:r>
        <w:tab/>
      </w:r>
      <w:r>
        <w:tab/>
      </w:r>
      <w:r>
        <w:tab/>
      </w:r>
      <w:r>
        <w:tab/>
        <w:t>Final Exam: 30%</w:t>
      </w:r>
    </w:p>
    <w:p w14:paraId="776C40DB" w14:textId="77777777" w:rsidR="00DC1D8A" w:rsidRDefault="00DC1D8A" w:rsidP="00DC1D8A"/>
    <w:p w14:paraId="0F011C08" w14:textId="77777777" w:rsidR="00DC1D8A" w:rsidRDefault="00DC1D8A" w:rsidP="00DC1D8A">
      <w:pPr>
        <w:pStyle w:val="NormalWeb"/>
        <w:outlineLvl w:val="3"/>
        <w:rPr>
          <w:rFonts w:cs="Arial"/>
          <w:b/>
          <w:bCs/>
        </w:rPr>
      </w:pPr>
      <w:r>
        <w:rPr>
          <w:rFonts w:cs="Arial"/>
          <w:b/>
          <w:bCs/>
        </w:rPr>
        <w:t>Department Grading Policy:</w:t>
      </w:r>
    </w:p>
    <w:p w14:paraId="389D05CB" w14:textId="77777777" w:rsidR="00DC1D8A" w:rsidRDefault="00DC1D8A" w:rsidP="00DC1D8A">
      <w:pPr>
        <w:pStyle w:val="NormalWeb"/>
        <w:outlineLvl w:val="3"/>
        <w:rPr>
          <w:rFonts w:cs="Arial"/>
          <w:bCs/>
          <w:i/>
        </w:rPr>
      </w:pPr>
      <w:r>
        <w:rPr>
          <w:rFonts w:cs="Arial"/>
          <w:bCs/>
          <w:i/>
        </w:rPr>
        <w:t>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Grades issued will represent a full range of student performance and will adhere to the following SJSU academic standards of assessment:</w:t>
      </w:r>
    </w:p>
    <w:p w14:paraId="7AF420FF" w14:textId="77777777" w:rsidR="00DC1D8A" w:rsidRDefault="00DC1D8A" w:rsidP="00DC1D8A">
      <w:pPr>
        <w:pStyle w:val="NormalWeb"/>
        <w:outlineLvl w:val="3"/>
        <w:rPr>
          <w:rFonts w:cs="Arial"/>
          <w:bCs/>
        </w:rPr>
      </w:pPr>
      <w:r>
        <w:rPr>
          <w:rFonts w:cs="Arial"/>
          <w:bCs/>
        </w:rPr>
        <w:t>The “</w:t>
      </w:r>
      <w:r>
        <w:rPr>
          <w:rFonts w:cs="Arial"/>
          <w:b/>
          <w:bCs/>
        </w:rPr>
        <w:t>A</w:t>
      </w:r>
      <w:r>
        <w:rPr>
          <w:rFonts w:cs="Arial"/>
          <w:bCs/>
        </w:rPr>
        <w:t>” essay will be well organized and well developed, demonstrating a clear understanding and fulfillment of the assignment.  It will show the student’s ability to use language effectively and construct sentences distinguished by syntactic complexity and variety.  Such essays will be essentially free of grammatical, mechanical, and usage errors.</w:t>
      </w:r>
    </w:p>
    <w:p w14:paraId="02A2D831" w14:textId="77777777" w:rsidR="00DC1D8A" w:rsidRDefault="00DC1D8A" w:rsidP="00DC1D8A">
      <w:pPr>
        <w:pStyle w:val="NormalWeb"/>
        <w:outlineLvl w:val="3"/>
        <w:rPr>
          <w:rFonts w:cs="Arial"/>
          <w:bCs/>
        </w:rPr>
      </w:pPr>
      <w:r>
        <w:rPr>
          <w:rFonts w:cs="Arial"/>
          <w:bCs/>
        </w:rPr>
        <w:t>The “</w:t>
      </w:r>
      <w:r>
        <w:rPr>
          <w:rFonts w:cs="Arial"/>
          <w:b/>
          <w:bCs/>
        </w:rPr>
        <w:t>B</w:t>
      </w:r>
      <w:r>
        <w:rPr>
          <w:rFonts w:cs="Arial"/>
          <w:bCs/>
        </w:rPr>
        <w:t xml:space="preserve">” essay will demonstrate competence in the same categories as the “A” essay.  The chief difference is that the “B” essay will show some </w:t>
      </w:r>
      <w:proofErr w:type="spellStart"/>
      <w:r>
        <w:rPr>
          <w:rFonts w:cs="Arial"/>
          <w:bCs/>
        </w:rPr>
        <w:t>describably</w:t>
      </w:r>
      <w:proofErr w:type="spellEnd"/>
      <w:r>
        <w:rPr>
          <w:rFonts w:cs="Arial"/>
          <w:bCs/>
        </w:rPr>
        <w:t xml:space="preserve"> slight weaknesses in one of those categories.  It may slight one of the assigned tasks, show less facility of expression, or contain some minor grammatical, mechanical, or usage flaws.</w:t>
      </w:r>
    </w:p>
    <w:p w14:paraId="3C4C8586" w14:textId="77777777" w:rsidR="00DC1D8A" w:rsidRDefault="00DC1D8A" w:rsidP="00DC1D8A">
      <w:pPr>
        <w:pStyle w:val="NormalWeb"/>
        <w:outlineLvl w:val="3"/>
        <w:rPr>
          <w:rFonts w:cs="Arial"/>
          <w:bCs/>
        </w:rPr>
      </w:pPr>
      <w:r>
        <w:rPr>
          <w:rFonts w:cs="Arial"/>
          <w:bCs/>
        </w:rPr>
        <w:t>The “</w:t>
      </w:r>
      <w:r>
        <w:rPr>
          <w:rFonts w:cs="Arial"/>
          <w:b/>
          <w:bCs/>
        </w:rPr>
        <w:t>C</w:t>
      </w:r>
      <w:r>
        <w:rPr>
          <w:rFonts w:cs="Arial"/>
          <w:bCs/>
        </w:rPr>
        <w:t>” essay will complete all tasks set by the assignment, but show weakness in fundamentals (usually development), with barely enough specific information to illustrate the experience or support generalizations.  The sentence construction may be less mature, and the use of language less effective and correct than the “B” essay.</w:t>
      </w:r>
    </w:p>
    <w:p w14:paraId="5EAB4896" w14:textId="77777777" w:rsidR="00DC1D8A" w:rsidRDefault="00DC1D8A" w:rsidP="00DC1D8A">
      <w:pPr>
        <w:pStyle w:val="NormalWeb"/>
        <w:outlineLvl w:val="3"/>
        <w:rPr>
          <w:rFonts w:cs="Arial"/>
          <w:bCs/>
        </w:rPr>
      </w:pPr>
      <w:r>
        <w:rPr>
          <w:rFonts w:cs="Arial"/>
          <w:bCs/>
        </w:rPr>
        <w:t>The “</w:t>
      </w:r>
      <w:r>
        <w:rPr>
          <w:rFonts w:cs="Arial"/>
          <w:b/>
          <w:bCs/>
        </w:rPr>
        <w:t>D</w:t>
      </w:r>
      <w:r>
        <w:rPr>
          <w:rFonts w:cs="Arial"/>
          <w:bCs/>
        </w:rPr>
        <w:t>” essay will neglect one of the assigned tasks and be noticeably superficial in its treatment of the assignment—that is, too simplistic or short.  The essay may reveal some problems in development, with insufficient specific information to illustrate the experience or support generalizations.  It will contain grammatical, mechanical, and usage errors that render some sentences incomprehensible.</w:t>
      </w:r>
    </w:p>
    <w:p w14:paraId="6C0C8A57" w14:textId="77777777" w:rsidR="00DC1D8A" w:rsidRDefault="00DC1D8A" w:rsidP="00DC1D8A">
      <w:pPr>
        <w:pStyle w:val="NormalWeb"/>
        <w:outlineLvl w:val="3"/>
        <w:rPr>
          <w:rFonts w:cs="Arial"/>
          <w:bCs/>
        </w:rPr>
      </w:pPr>
      <w:r>
        <w:rPr>
          <w:rFonts w:cs="Arial"/>
          <w:bCs/>
        </w:rPr>
        <w:lastRenderedPageBreak/>
        <w:t>The “</w:t>
      </w:r>
      <w:r>
        <w:rPr>
          <w:rFonts w:cs="Arial"/>
          <w:b/>
          <w:bCs/>
        </w:rPr>
        <w:t>F</w:t>
      </w:r>
      <w:r>
        <w:rPr>
          <w:rFonts w:cs="Arial"/>
          <w:bCs/>
        </w:rPr>
        <w:t>” essay will demonstrate a striking underdevelopment of ideas and insufficient or unfocused organization.  It will contain serious grammatical, mechanical, and usage errors that render some sentences incomprehensible.</w:t>
      </w:r>
    </w:p>
    <w:p w14:paraId="3824225E" w14:textId="77777777" w:rsidR="00DC1D8A" w:rsidRDefault="00DC1D8A" w:rsidP="00DC1D8A">
      <w:pPr>
        <w:pStyle w:val="NormalWeb"/>
        <w:outlineLvl w:val="3"/>
        <w:rPr>
          <w:rFonts w:cs="Arial"/>
          <w:bCs/>
        </w:rPr>
      </w:pPr>
      <w:r>
        <w:rPr>
          <w:rFonts w:cs="Arial"/>
          <w:bCs/>
        </w:rPr>
        <w:t xml:space="preserve">“The Department of English reaffirms its commitment to the differential grading scale as defined in the SJSU Catalog (“The Grading System”). Grades issued must represent a full range of student performance: A= excellent; B= above average; C= average; D= below average; F= failure. Courses graded according to the A, B, C, No Credit system shall follow the same pattern, except that NC shall replace D or F. In such cases, NC shall also substitute for W (or Withdrawal) because neither grade (NC or W) affects students’ GPA.” </w:t>
      </w:r>
    </w:p>
    <w:p w14:paraId="5D47463D" w14:textId="77777777" w:rsidR="00DC1D8A" w:rsidRPr="00310987" w:rsidRDefault="00DC1D8A" w:rsidP="00DC1D8A"/>
    <w:p w14:paraId="210270CD" w14:textId="1DA91CE6" w:rsidR="00DC1D8A" w:rsidRDefault="00DC1D8A" w:rsidP="00DC1D8A">
      <w:pPr>
        <w:pStyle w:val="Heading2"/>
      </w:pPr>
      <w:r w:rsidRPr="00310987">
        <w:t>University Policies</w:t>
      </w:r>
      <w:r>
        <w:t xml:space="preserve"> </w:t>
      </w:r>
    </w:p>
    <w:p w14:paraId="75AE2EE7" w14:textId="77777777" w:rsidR="00DC1D8A" w:rsidRDefault="00DC1D8A" w:rsidP="00DC1D8A">
      <w:pPr>
        <w:rPr>
          <w:highlight w:val="yellow"/>
        </w:rPr>
      </w:pPr>
      <w:r w:rsidRPr="0018184F">
        <w:rPr>
          <w:highlight w:val="yellow"/>
          <w:lang w:eastAsia="en-US"/>
        </w:rPr>
        <w:t>Per University Policy S16-9,</w:t>
      </w:r>
      <w:r w:rsidRPr="0018184F">
        <w:rPr>
          <w:highlight w:val="yellow"/>
        </w:rPr>
        <w:t xml:space="preserve"> university-wide policy information relevant to all courses, such as academic integrity, accommodations, etc. will be available on </w:t>
      </w:r>
      <w:r w:rsidRPr="0018184F">
        <w:rPr>
          <w:highlight w:val="yellow"/>
          <w:lang w:eastAsia="en-US"/>
        </w:rPr>
        <w:t xml:space="preserve">Office of Graduate and Undergraduate Programs’ </w:t>
      </w:r>
      <w:hyperlink r:id="rId12" w:history="1">
        <w:r w:rsidRPr="0018184F">
          <w:rPr>
            <w:rStyle w:val="Hyperlink"/>
            <w:highlight w:val="yellow"/>
            <w:lang w:eastAsia="en-US"/>
          </w:rPr>
          <w:t>Syllabus Information</w:t>
        </w:r>
        <w:r w:rsidRPr="0018184F">
          <w:rPr>
            <w:rStyle w:val="Hyperlink"/>
            <w:highlight w:val="yellow"/>
          </w:rPr>
          <w:t xml:space="preserve"> web page</w:t>
        </w:r>
      </w:hyperlink>
      <w:r w:rsidRPr="0018184F">
        <w:rPr>
          <w:highlight w:val="yellow"/>
          <w:lang w:eastAsia="en-US"/>
        </w:rPr>
        <w:t xml:space="preserve"> at http://www.sjsu.edu/gup/syllabusinfo/</w:t>
      </w:r>
      <w:r w:rsidRPr="0018184F">
        <w:rPr>
          <w:highlight w:val="yellow"/>
        </w:rPr>
        <w:t>”</w:t>
      </w:r>
    </w:p>
    <w:p w14:paraId="364A4A3B" w14:textId="77777777" w:rsidR="00DC1D8A" w:rsidRPr="00034FC1" w:rsidRDefault="00DC1D8A" w:rsidP="00DC1D8A">
      <w:pPr>
        <w:rPr>
          <w:highlight w:val="yellow"/>
        </w:rPr>
      </w:pPr>
    </w:p>
    <w:p w14:paraId="3094C800" w14:textId="77777777" w:rsidR="00FA1BE4" w:rsidRPr="00DB2CB6" w:rsidRDefault="00FA1BE4" w:rsidP="00FA1BE4">
      <w:pPr>
        <w:rPr>
          <w:b/>
          <w:highlight w:val="yellow"/>
        </w:rPr>
      </w:pPr>
      <w:r w:rsidRPr="00DB2CB6">
        <w:rPr>
          <w:b/>
          <w:highlight w:val="yellow"/>
        </w:rPr>
        <w:t>Final Examination or Evaluation</w:t>
      </w:r>
    </w:p>
    <w:p w14:paraId="56C96BBC" w14:textId="77777777" w:rsidR="00C50FCB" w:rsidRDefault="00C50FCB" w:rsidP="0048282F">
      <w:pPr>
        <w:shd w:val="clear" w:color="auto" w:fill="FFFFFF" w:themeFill="background1"/>
        <w:rPr>
          <w:i/>
        </w:rPr>
      </w:pPr>
    </w:p>
    <w:p w14:paraId="0836ECEF" w14:textId="77777777" w:rsidR="00C50FCB" w:rsidRPr="0048282F" w:rsidRDefault="00247A96" w:rsidP="0048282F">
      <w:pPr>
        <w:shd w:val="clear" w:color="auto" w:fill="FFFF00"/>
      </w:pPr>
      <w:r>
        <w:t xml:space="preserve">Include </w:t>
      </w:r>
      <w:r w:rsidR="00C50FCB" w:rsidRPr="0048282F">
        <w:t>University</w:t>
      </w:r>
      <w:r w:rsidR="00F055F2">
        <w:t>’s</w:t>
      </w:r>
      <w:r w:rsidR="00C50FCB" w:rsidRPr="0048282F">
        <w:t xml:space="preserve"> </w:t>
      </w:r>
      <w:r w:rsidR="00F42C6E" w:rsidRPr="0048282F">
        <w:t>Credit Hour Requirement</w:t>
      </w:r>
      <w:r w:rsidR="00C50FCB" w:rsidRPr="0048282F">
        <w:t xml:space="preserve"> </w:t>
      </w:r>
      <w:r>
        <w:t>below</w:t>
      </w:r>
      <w:r w:rsidRPr="0048282F">
        <w:t>.</w:t>
      </w:r>
    </w:p>
    <w:p w14:paraId="3E2C33F0" w14:textId="77777777" w:rsidR="00F055F2" w:rsidRPr="0048282F" w:rsidRDefault="00F055F2" w:rsidP="0048282F">
      <w:pPr>
        <w:shd w:val="clear" w:color="auto" w:fill="FFFF00"/>
      </w:pPr>
    </w:p>
    <w:p w14:paraId="40D150FC" w14:textId="77777777" w:rsidR="00C50FCB" w:rsidRDefault="00C50FCB" w:rsidP="0048282F">
      <w:pPr>
        <w:shd w:val="clear" w:color="auto" w:fill="FFFF00"/>
      </w:pPr>
      <w:r w:rsidRPr="0048282F">
        <w:rPr>
          <w:rFonts w:eastAsia="Times New Roman"/>
          <w:lang w:eastAsia="en-US"/>
        </w:rPr>
        <w:t xml:space="preserve">“Success in this course is based on the expectation that students will spend, for each unit </w:t>
      </w:r>
      <w:r w:rsidR="00F42C6E" w:rsidRPr="0048282F">
        <w:rPr>
          <w:rFonts w:eastAsia="Times New Roman"/>
          <w:lang w:eastAsia="en-US"/>
        </w:rPr>
        <w:t>of credit, a minimum of 45</w:t>
      </w:r>
      <w:r w:rsidRPr="0048282F">
        <w:rPr>
          <w:rFonts w:eastAsia="Times New Roman"/>
          <w:lang w:eastAsia="en-US"/>
        </w:rPr>
        <w:t xml:space="preserve"> hours over the length of the course (normally 3 hours per unit per week with 1 of the hours used for lecture) for instruction or preparation/studying or course related activities including but not limited to internships, labs, clinical </w:t>
      </w:r>
      <w:proofErr w:type="spellStart"/>
      <w:r w:rsidRPr="0048282F">
        <w:rPr>
          <w:rFonts w:eastAsia="Times New Roman"/>
          <w:lang w:eastAsia="en-US"/>
        </w:rPr>
        <w:t>practica</w:t>
      </w:r>
      <w:proofErr w:type="spellEnd"/>
      <w:r w:rsidRPr="0048282F">
        <w:rPr>
          <w:rFonts w:eastAsia="Times New Roman"/>
          <w:lang w:eastAsia="en-US"/>
        </w:rPr>
        <w:t xml:space="preserve">. Other course structures will have equivalent workload expectations as described in the syllabus.” </w:t>
      </w:r>
    </w:p>
    <w:p w14:paraId="391CA25F" w14:textId="77777777" w:rsidR="008B3FA0" w:rsidRPr="0048282F" w:rsidRDefault="008B3FA0" w:rsidP="008B3FA0">
      <w:pPr>
        <w:pStyle w:val="Heading3"/>
      </w:pPr>
      <w:r w:rsidRPr="0048282F">
        <w:t>Final Examination or Evaluation</w:t>
      </w:r>
    </w:p>
    <w:p w14:paraId="1A8DF3A6" w14:textId="07886BB0" w:rsidR="008B3FA0" w:rsidRPr="005C11C7" w:rsidRDefault="00DB2CB6" w:rsidP="00DB2CB6">
      <w:pPr>
        <w:shd w:val="clear" w:color="auto" w:fill="D9D9D9"/>
        <w:rPr>
          <w:i/>
        </w:rPr>
      </w:pPr>
      <w:r>
        <w:t>A final exam will be given in class at the end of the semester involving clos</w:t>
      </w:r>
      <w:r w:rsidR="00DC1D8A">
        <w:t xml:space="preserve">e reading, identifications, and an </w:t>
      </w:r>
      <w:r>
        <w:t>essay component.</w:t>
      </w:r>
    </w:p>
    <w:p w14:paraId="61E06DDF" w14:textId="79E3DC93" w:rsidR="00D947E9" w:rsidRDefault="00D947E9" w:rsidP="00A700D5"/>
    <w:p w14:paraId="5FBB9A55" w14:textId="77777777" w:rsidR="00B86DEB" w:rsidRPr="00CB0080" w:rsidRDefault="00B86DEB" w:rsidP="001F6230">
      <w:pPr>
        <w:tabs>
          <w:tab w:val="left" w:pos="2310"/>
        </w:tabs>
        <w:rPr>
          <w:rFonts w:ascii="Arial" w:hAnsi="Arial" w:cs="Arial"/>
          <w:color w:val="222222"/>
        </w:rPr>
      </w:pPr>
    </w:p>
    <w:p w14:paraId="3B1C9BD3" w14:textId="3CD3CBD1" w:rsidR="00444C92" w:rsidRPr="00310987" w:rsidRDefault="00DC1D8A" w:rsidP="00C26AB0">
      <w:pPr>
        <w:pStyle w:val="Heading1"/>
      </w:pPr>
      <w:r>
        <w:t>ENGL 50</w:t>
      </w:r>
      <w:r w:rsidR="00D947E9">
        <w:t xml:space="preserve"> Reading Schedule: SUBJECT TO CHANGE</w:t>
      </w:r>
    </w:p>
    <w:p w14:paraId="5392CB89" w14:textId="77777777" w:rsidR="00444C92" w:rsidRPr="00310987" w:rsidRDefault="00444C92" w:rsidP="00444C92">
      <w:pPr>
        <w:rPr>
          <w:i/>
        </w:rPr>
      </w:pPr>
      <w:r w:rsidRPr="00310987">
        <w:rPr>
          <w:i/>
        </w:rPr>
        <w:t xml:space="preserve">List the agenda for the semester including when and where the final exam will be held. Indicate the schedule is subject to change with fair notice and how the notice will be made available. </w:t>
      </w:r>
    </w:p>
    <w:p w14:paraId="41973776" w14:textId="77777777" w:rsidR="005B43D0" w:rsidRPr="00310987" w:rsidRDefault="005B43D0" w:rsidP="00467AA9">
      <w:pPr>
        <w:pStyle w:val="Heading2"/>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381"/>
        <w:gridCol w:w="8213"/>
      </w:tblGrid>
      <w:tr w:rsidR="00444C92" w:rsidRPr="00310987" w14:paraId="61F54999" w14:textId="77777777" w:rsidTr="00644EDC">
        <w:trPr>
          <w:trHeight w:val="432"/>
          <w:tblHeader/>
        </w:trPr>
        <w:tc>
          <w:tcPr>
            <w:tcW w:w="864" w:type="dxa"/>
          </w:tcPr>
          <w:p w14:paraId="61378AE6" w14:textId="77777777" w:rsidR="00444C92" w:rsidRPr="001F6230" w:rsidRDefault="00444C92" w:rsidP="001F6230">
            <w:pPr>
              <w:jc w:val="center"/>
              <w:rPr>
                <w:b/>
              </w:rPr>
            </w:pPr>
            <w:r w:rsidRPr="001F6230">
              <w:rPr>
                <w:b/>
              </w:rPr>
              <w:t>Week</w:t>
            </w:r>
          </w:p>
        </w:tc>
        <w:tc>
          <w:tcPr>
            <w:tcW w:w="1381" w:type="dxa"/>
          </w:tcPr>
          <w:p w14:paraId="2AD87C03" w14:textId="77777777" w:rsidR="00444C92" w:rsidRPr="00310987" w:rsidRDefault="00444C92" w:rsidP="001F6230">
            <w:pPr>
              <w:jc w:val="center"/>
            </w:pPr>
            <w:r w:rsidRPr="001F6230">
              <w:rPr>
                <w:b/>
              </w:rPr>
              <w:t>Date</w:t>
            </w:r>
          </w:p>
        </w:tc>
        <w:tc>
          <w:tcPr>
            <w:tcW w:w="8213" w:type="dxa"/>
          </w:tcPr>
          <w:p w14:paraId="4E1A4C7E" w14:textId="77777777" w:rsidR="00444C92" w:rsidRPr="001F6230" w:rsidRDefault="00444C92" w:rsidP="001F6230">
            <w:pPr>
              <w:rPr>
                <w:b/>
              </w:rPr>
            </w:pPr>
            <w:r w:rsidRPr="001F6230">
              <w:rPr>
                <w:b/>
              </w:rPr>
              <w:t>Topics, Readings, Assignments, Deadlines</w:t>
            </w:r>
          </w:p>
        </w:tc>
      </w:tr>
      <w:tr w:rsidR="00444C92" w:rsidRPr="00310987" w14:paraId="7283AEDE" w14:textId="77777777" w:rsidTr="00644EDC">
        <w:trPr>
          <w:trHeight w:val="432"/>
        </w:trPr>
        <w:tc>
          <w:tcPr>
            <w:tcW w:w="864" w:type="dxa"/>
            <w:tcBorders>
              <w:bottom w:val="single" w:sz="4" w:space="0" w:color="auto"/>
            </w:tcBorders>
          </w:tcPr>
          <w:p w14:paraId="1A156BE5" w14:textId="77777777" w:rsidR="00444C92" w:rsidRPr="00310987" w:rsidRDefault="00444C92" w:rsidP="001F6230">
            <w:pPr>
              <w:jc w:val="center"/>
            </w:pPr>
            <w:r w:rsidRPr="00310987">
              <w:t>1</w:t>
            </w:r>
          </w:p>
        </w:tc>
        <w:tc>
          <w:tcPr>
            <w:tcW w:w="1381" w:type="dxa"/>
            <w:tcBorders>
              <w:bottom w:val="single" w:sz="4" w:space="0" w:color="auto"/>
            </w:tcBorders>
          </w:tcPr>
          <w:p w14:paraId="42D8E697" w14:textId="5FA40271" w:rsidR="00444C92" w:rsidRPr="00310987" w:rsidRDefault="007A44B0" w:rsidP="001F6230">
            <w:r>
              <w:t>6/3</w:t>
            </w:r>
          </w:p>
        </w:tc>
        <w:tc>
          <w:tcPr>
            <w:tcW w:w="8213" w:type="dxa"/>
            <w:tcBorders>
              <w:bottom w:val="single" w:sz="4" w:space="0" w:color="auto"/>
            </w:tcBorders>
          </w:tcPr>
          <w:p w14:paraId="161303C1" w14:textId="3409F88F" w:rsidR="00444C92" w:rsidRPr="00310987" w:rsidRDefault="00B55A5E" w:rsidP="001F6230">
            <w:r>
              <w:t>Introductions</w:t>
            </w:r>
          </w:p>
        </w:tc>
      </w:tr>
      <w:tr w:rsidR="00444C92" w:rsidRPr="00310987" w14:paraId="06262C3E" w14:textId="77777777" w:rsidTr="00644EDC">
        <w:trPr>
          <w:trHeight w:val="432"/>
        </w:trPr>
        <w:tc>
          <w:tcPr>
            <w:tcW w:w="864" w:type="dxa"/>
          </w:tcPr>
          <w:p w14:paraId="6F2C47A2" w14:textId="3872DF35" w:rsidR="00444C92" w:rsidRPr="00310987" w:rsidRDefault="001861C0" w:rsidP="001F6230">
            <w:pPr>
              <w:jc w:val="center"/>
            </w:pPr>
            <w:r>
              <w:t>1</w:t>
            </w:r>
          </w:p>
        </w:tc>
        <w:tc>
          <w:tcPr>
            <w:tcW w:w="1381" w:type="dxa"/>
          </w:tcPr>
          <w:p w14:paraId="10C51474" w14:textId="1288983D" w:rsidR="00444C92" w:rsidRPr="00310987" w:rsidRDefault="007A44B0" w:rsidP="001F6230">
            <w:r>
              <w:t>6/5</w:t>
            </w:r>
          </w:p>
        </w:tc>
        <w:tc>
          <w:tcPr>
            <w:tcW w:w="8213" w:type="dxa"/>
          </w:tcPr>
          <w:p w14:paraId="73AE70B1" w14:textId="53A5EC64" w:rsidR="00444C92" w:rsidRPr="00310987" w:rsidRDefault="00DC1D8A" w:rsidP="001F6230">
            <w:r w:rsidRPr="001B77CC">
              <w:rPr>
                <w:i/>
              </w:rPr>
              <w:t>Beowulf</w:t>
            </w:r>
            <w:r>
              <w:t xml:space="preserve"> (lines 1-</w:t>
            </w:r>
            <w:r w:rsidR="007A44B0">
              <w:t>1320)</w:t>
            </w:r>
          </w:p>
        </w:tc>
      </w:tr>
      <w:tr w:rsidR="005F1C5B" w:rsidRPr="00310987" w14:paraId="289A1F5F" w14:textId="77777777" w:rsidTr="00644EDC">
        <w:trPr>
          <w:trHeight w:val="432"/>
        </w:trPr>
        <w:tc>
          <w:tcPr>
            <w:tcW w:w="864" w:type="dxa"/>
          </w:tcPr>
          <w:p w14:paraId="017BF668" w14:textId="77777777" w:rsidR="005F1C5B" w:rsidRPr="00310987" w:rsidRDefault="005F1C5B" w:rsidP="001F6230">
            <w:pPr>
              <w:jc w:val="center"/>
            </w:pPr>
            <w:r w:rsidRPr="00310987">
              <w:t>2</w:t>
            </w:r>
          </w:p>
        </w:tc>
        <w:tc>
          <w:tcPr>
            <w:tcW w:w="1381" w:type="dxa"/>
          </w:tcPr>
          <w:p w14:paraId="0BA8A9E2" w14:textId="558FC86B" w:rsidR="005F1C5B" w:rsidRPr="00310987" w:rsidRDefault="007A44B0" w:rsidP="001F6230">
            <w:r>
              <w:t>6/10</w:t>
            </w:r>
          </w:p>
        </w:tc>
        <w:tc>
          <w:tcPr>
            <w:tcW w:w="8213" w:type="dxa"/>
          </w:tcPr>
          <w:p w14:paraId="6089FC1F" w14:textId="5EF4AAC9" w:rsidR="005F1C5B" w:rsidRPr="00310987" w:rsidRDefault="00DC1D8A" w:rsidP="001F6230">
            <w:r w:rsidRPr="001B77CC">
              <w:rPr>
                <w:i/>
              </w:rPr>
              <w:t>Beowulf</w:t>
            </w:r>
            <w:r>
              <w:t xml:space="preserve"> (</w:t>
            </w:r>
            <w:r w:rsidR="006E4963">
              <w:t>finish the poem)</w:t>
            </w:r>
          </w:p>
        </w:tc>
      </w:tr>
      <w:tr w:rsidR="00444C92" w:rsidRPr="00310987" w14:paraId="601C3E22" w14:textId="77777777" w:rsidTr="00644EDC">
        <w:trPr>
          <w:trHeight w:val="432"/>
        </w:trPr>
        <w:tc>
          <w:tcPr>
            <w:tcW w:w="864" w:type="dxa"/>
          </w:tcPr>
          <w:p w14:paraId="3BB24319" w14:textId="07A5D6A3" w:rsidR="00444C92" w:rsidRPr="00310987" w:rsidRDefault="001861C0" w:rsidP="001F6230">
            <w:pPr>
              <w:jc w:val="center"/>
            </w:pPr>
            <w:r>
              <w:t>2</w:t>
            </w:r>
          </w:p>
        </w:tc>
        <w:tc>
          <w:tcPr>
            <w:tcW w:w="1381" w:type="dxa"/>
          </w:tcPr>
          <w:p w14:paraId="40C4E9C7" w14:textId="5E677930" w:rsidR="00444C92" w:rsidRPr="00310987" w:rsidRDefault="007A44B0" w:rsidP="001F6230">
            <w:r>
              <w:t>6/12</w:t>
            </w:r>
          </w:p>
        </w:tc>
        <w:tc>
          <w:tcPr>
            <w:tcW w:w="8213" w:type="dxa"/>
          </w:tcPr>
          <w:p w14:paraId="5D494D02" w14:textId="6FDE4465" w:rsidR="00444C92" w:rsidRPr="00310987" w:rsidRDefault="006E4963" w:rsidP="001F6230">
            <w:r>
              <w:t xml:space="preserve">Marie de France </w:t>
            </w:r>
            <w:proofErr w:type="spellStart"/>
            <w:r w:rsidR="002B50F6">
              <w:t>laies</w:t>
            </w:r>
            <w:proofErr w:type="spellEnd"/>
            <w:r w:rsidR="002B50F6">
              <w:t>, “</w:t>
            </w:r>
            <w:proofErr w:type="spellStart"/>
            <w:r w:rsidR="002B50F6">
              <w:t>Bisclavret</w:t>
            </w:r>
            <w:proofErr w:type="spellEnd"/>
            <w:r w:rsidR="002B50F6">
              <w:t>” (The Werewolf) and “Lanval”</w:t>
            </w:r>
          </w:p>
        </w:tc>
      </w:tr>
      <w:tr w:rsidR="005F1C5B" w:rsidRPr="00310987" w14:paraId="4AF4A9A0" w14:textId="77777777" w:rsidTr="00644EDC">
        <w:trPr>
          <w:trHeight w:val="467"/>
        </w:trPr>
        <w:tc>
          <w:tcPr>
            <w:tcW w:w="864" w:type="dxa"/>
          </w:tcPr>
          <w:p w14:paraId="36889A95" w14:textId="77777777" w:rsidR="005F1C5B" w:rsidRPr="00310987" w:rsidRDefault="005F1C5B" w:rsidP="001F6230">
            <w:pPr>
              <w:jc w:val="center"/>
            </w:pPr>
            <w:r w:rsidRPr="00310987">
              <w:t>3</w:t>
            </w:r>
          </w:p>
        </w:tc>
        <w:tc>
          <w:tcPr>
            <w:tcW w:w="1381" w:type="dxa"/>
          </w:tcPr>
          <w:p w14:paraId="319F261D" w14:textId="70217FBB" w:rsidR="005F1C5B" w:rsidRPr="00310987" w:rsidRDefault="007A44B0" w:rsidP="001F6230">
            <w:r>
              <w:t>6/17</w:t>
            </w:r>
          </w:p>
        </w:tc>
        <w:tc>
          <w:tcPr>
            <w:tcW w:w="8213" w:type="dxa"/>
          </w:tcPr>
          <w:p w14:paraId="4185F429" w14:textId="6C24C19C" w:rsidR="005F1C5B" w:rsidRPr="00310987" w:rsidRDefault="002B50F6" w:rsidP="00B55A5E">
            <w:r>
              <w:rPr>
                <w:i/>
              </w:rPr>
              <w:t>Sir Gawain and the Green Knight</w:t>
            </w:r>
          </w:p>
        </w:tc>
      </w:tr>
      <w:tr w:rsidR="00444C92" w:rsidRPr="00310987" w14:paraId="76D43420" w14:textId="77777777" w:rsidTr="00644EDC">
        <w:trPr>
          <w:trHeight w:val="432"/>
        </w:trPr>
        <w:tc>
          <w:tcPr>
            <w:tcW w:w="864" w:type="dxa"/>
          </w:tcPr>
          <w:p w14:paraId="271C4C13" w14:textId="49F0D4CC" w:rsidR="00444C92" w:rsidRPr="00310987" w:rsidRDefault="00CD7660" w:rsidP="001F6230">
            <w:pPr>
              <w:jc w:val="center"/>
            </w:pPr>
            <w:r>
              <w:lastRenderedPageBreak/>
              <w:t>3</w:t>
            </w:r>
          </w:p>
        </w:tc>
        <w:tc>
          <w:tcPr>
            <w:tcW w:w="1381" w:type="dxa"/>
          </w:tcPr>
          <w:p w14:paraId="039F2C6E" w14:textId="0D664FEC" w:rsidR="00444C92" w:rsidRPr="00310987" w:rsidRDefault="007A44B0" w:rsidP="001F6230">
            <w:r>
              <w:t>6/19</w:t>
            </w:r>
          </w:p>
        </w:tc>
        <w:tc>
          <w:tcPr>
            <w:tcW w:w="8213" w:type="dxa"/>
          </w:tcPr>
          <w:p w14:paraId="0C781BEE" w14:textId="222B0254" w:rsidR="00444C92" w:rsidRPr="001B77CC" w:rsidRDefault="002B50F6" w:rsidP="001F6230">
            <w:r>
              <w:t>Chaucer, The Canterbury Tales, “General Prologue”</w:t>
            </w:r>
          </w:p>
        </w:tc>
      </w:tr>
      <w:tr w:rsidR="005F1C5B" w:rsidRPr="00310987" w14:paraId="707F25D6" w14:textId="77777777" w:rsidTr="00644EDC">
        <w:trPr>
          <w:trHeight w:val="432"/>
        </w:trPr>
        <w:tc>
          <w:tcPr>
            <w:tcW w:w="864" w:type="dxa"/>
            <w:tcBorders>
              <w:bottom w:val="single" w:sz="4" w:space="0" w:color="auto"/>
            </w:tcBorders>
          </w:tcPr>
          <w:p w14:paraId="45E0B872" w14:textId="7006AAE2" w:rsidR="005F1C5B" w:rsidRPr="00310987" w:rsidRDefault="00CD7660" w:rsidP="001F6230">
            <w:pPr>
              <w:jc w:val="center"/>
            </w:pPr>
            <w:r>
              <w:t>4</w:t>
            </w:r>
          </w:p>
        </w:tc>
        <w:tc>
          <w:tcPr>
            <w:tcW w:w="1381" w:type="dxa"/>
            <w:tcBorders>
              <w:bottom w:val="single" w:sz="4" w:space="0" w:color="auto"/>
            </w:tcBorders>
          </w:tcPr>
          <w:p w14:paraId="5910BAF7" w14:textId="19F4DDC4" w:rsidR="005F1C5B" w:rsidRPr="00310987" w:rsidRDefault="007A44B0" w:rsidP="001F6230">
            <w:r>
              <w:t>6/24</w:t>
            </w:r>
          </w:p>
        </w:tc>
        <w:tc>
          <w:tcPr>
            <w:tcW w:w="8213" w:type="dxa"/>
            <w:tcBorders>
              <w:bottom w:val="single" w:sz="4" w:space="0" w:color="auto"/>
            </w:tcBorders>
          </w:tcPr>
          <w:p w14:paraId="71E16F7E" w14:textId="310618AB" w:rsidR="005F1C5B" w:rsidRPr="001B77CC" w:rsidRDefault="002B3EEF" w:rsidP="001F6230">
            <w:r>
              <w:t>Wife of Bath’s Prologue and Tale” and</w:t>
            </w:r>
            <w:r w:rsidRPr="001B77CC">
              <w:t xml:space="preserve"> “The Pardoner’s Prologue and Tale”</w:t>
            </w:r>
          </w:p>
        </w:tc>
      </w:tr>
      <w:tr w:rsidR="006E4963" w:rsidRPr="00310987" w14:paraId="6967EE5A" w14:textId="77777777" w:rsidTr="00644EDC">
        <w:trPr>
          <w:trHeight w:val="432"/>
        </w:trPr>
        <w:tc>
          <w:tcPr>
            <w:tcW w:w="864" w:type="dxa"/>
            <w:tcBorders>
              <w:bottom w:val="single" w:sz="4" w:space="0" w:color="auto"/>
            </w:tcBorders>
          </w:tcPr>
          <w:p w14:paraId="58DB86B1" w14:textId="222A97A0" w:rsidR="006E4963" w:rsidRPr="00310987" w:rsidRDefault="006E4963" w:rsidP="006E4963">
            <w:pPr>
              <w:jc w:val="center"/>
            </w:pPr>
            <w:r>
              <w:t>4</w:t>
            </w:r>
          </w:p>
        </w:tc>
        <w:tc>
          <w:tcPr>
            <w:tcW w:w="1381" w:type="dxa"/>
            <w:tcBorders>
              <w:bottom w:val="single" w:sz="4" w:space="0" w:color="auto"/>
            </w:tcBorders>
          </w:tcPr>
          <w:p w14:paraId="78CB0931" w14:textId="5516685E" w:rsidR="006E4963" w:rsidRPr="00310987" w:rsidRDefault="006E4963" w:rsidP="006E4963">
            <w:r>
              <w:t>6/26</w:t>
            </w:r>
          </w:p>
        </w:tc>
        <w:tc>
          <w:tcPr>
            <w:tcW w:w="8213" w:type="dxa"/>
            <w:tcBorders>
              <w:bottom w:val="single" w:sz="4" w:space="0" w:color="auto"/>
            </w:tcBorders>
          </w:tcPr>
          <w:p w14:paraId="202C954A" w14:textId="74EFD6BB" w:rsidR="006E4963" w:rsidRPr="001B77CC" w:rsidRDefault="002B3EEF" w:rsidP="006E4963">
            <w:r>
              <w:t xml:space="preserve">Excerpts from </w:t>
            </w:r>
            <w:r w:rsidRPr="008E7187">
              <w:rPr>
                <w:i/>
              </w:rPr>
              <w:t xml:space="preserve">the Book of </w:t>
            </w:r>
            <w:r>
              <w:rPr>
                <w:i/>
              </w:rPr>
              <w:t>Marg</w:t>
            </w:r>
            <w:r w:rsidRPr="008E7187">
              <w:rPr>
                <w:i/>
              </w:rPr>
              <w:t>ery Kempe</w:t>
            </w:r>
            <w:r>
              <w:t xml:space="preserve"> and Julian of Norwich’s writings</w:t>
            </w:r>
          </w:p>
        </w:tc>
      </w:tr>
      <w:tr w:rsidR="006E4963" w:rsidRPr="00310987" w14:paraId="407F1F91" w14:textId="77777777" w:rsidTr="00644EDC">
        <w:trPr>
          <w:trHeight w:val="432"/>
        </w:trPr>
        <w:tc>
          <w:tcPr>
            <w:tcW w:w="864" w:type="dxa"/>
          </w:tcPr>
          <w:p w14:paraId="532FF4EB" w14:textId="77777777" w:rsidR="006E4963" w:rsidRPr="00310987" w:rsidRDefault="006E4963" w:rsidP="006E4963">
            <w:pPr>
              <w:jc w:val="center"/>
            </w:pPr>
            <w:r w:rsidRPr="00310987">
              <w:t>5</w:t>
            </w:r>
          </w:p>
        </w:tc>
        <w:tc>
          <w:tcPr>
            <w:tcW w:w="1381" w:type="dxa"/>
          </w:tcPr>
          <w:p w14:paraId="71D3CFBB" w14:textId="48780CC0" w:rsidR="006E4963" w:rsidRPr="00310987" w:rsidRDefault="006E4963" w:rsidP="006E4963">
            <w:r>
              <w:t>7/1</w:t>
            </w:r>
          </w:p>
        </w:tc>
        <w:tc>
          <w:tcPr>
            <w:tcW w:w="8213" w:type="dxa"/>
          </w:tcPr>
          <w:p w14:paraId="65D53C81" w14:textId="50548450" w:rsidR="006E4963" w:rsidRPr="001B77CC" w:rsidRDefault="002B3EEF" w:rsidP="006E4963">
            <w:r>
              <w:t>MIDTERM</w:t>
            </w:r>
          </w:p>
        </w:tc>
      </w:tr>
      <w:tr w:rsidR="006E4963" w:rsidRPr="00310987" w14:paraId="2C7B5133" w14:textId="77777777" w:rsidTr="00644EDC">
        <w:trPr>
          <w:trHeight w:val="432"/>
        </w:trPr>
        <w:tc>
          <w:tcPr>
            <w:tcW w:w="864" w:type="dxa"/>
          </w:tcPr>
          <w:p w14:paraId="67EADD6F" w14:textId="5AC20311" w:rsidR="006E4963" w:rsidRPr="00310987" w:rsidRDefault="006E4963" w:rsidP="006E4963">
            <w:pPr>
              <w:jc w:val="center"/>
            </w:pPr>
            <w:r>
              <w:t>5</w:t>
            </w:r>
          </w:p>
        </w:tc>
        <w:tc>
          <w:tcPr>
            <w:tcW w:w="1381" w:type="dxa"/>
          </w:tcPr>
          <w:p w14:paraId="383DCA69" w14:textId="557EFBCA" w:rsidR="006E4963" w:rsidRPr="00310987" w:rsidRDefault="006E4963" w:rsidP="006E4963">
            <w:r>
              <w:t>7/3</w:t>
            </w:r>
          </w:p>
        </w:tc>
        <w:tc>
          <w:tcPr>
            <w:tcW w:w="8213" w:type="dxa"/>
          </w:tcPr>
          <w:p w14:paraId="358AE4E1" w14:textId="325DCE6B" w:rsidR="006E4963" w:rsidRPr="001B77CC" w:rsidRDefault="002B3EEF" w:rsidP="002B3EEF">
            <w:r>
              <w:t>The 16</w:t>
            </w:r>
            <w:r w:rsidRPr="00274430">
              <w:rPr>
                <w:vertAlign w:val="superscript"/>
              </w:rPr>
              <w:t>th</w:t>
            </w:r>
            <w:r>
              <w:t xml:space="preserve"> Century.  Norton: Introduction, John Skelton, “The </w:t>
            </w:r>
            <w:proofErr w:type="spellStart"/>
            <w:r>
              <w:t>Tunning</w:t>
            </w:r>
            <w:proofErr w:type="spellEnd"/>
            <w:r>
              <w:t xml:space="preserve"> of </w:t>
            </w:r>
            <w:proofErr w:type="spellStart"/>
            <w:r>
              <w:t>Elinour</w:t>
            </w:r>
            <w:proofErr w:type="spellEnd"/>
            <w:r>
              <w:t xml:space="preserve"> </w:t>
            </w:r>
            <w:proofErr w:type="spellStart"/>
            <w:r>
              <w:t>Rumming</w:t>
            </w:r>
            <w:proofErr w:type="spellEnd"/>
            <w:r>
              <w:t xml:space="preserve">”; Petrarch Rima 140, Sir Thomas Wyatt the Elder, “The long love that in my thought doth harbor”; Henry Howard, Earl of </w:t>
            </w:r>
            <w:proofErr w:type="gramStart"/>
            <w:r>
              <w:t>Surrey,  “</w:t>
            </w:r>
            <w:proofErr w:type="gramEnd"/>
            <w:r>
              <w:t>Love that doth reign and live within my thought,” Queen Elizabeth’s letters and speeches  [ESSAY 1 PROMPTS DISTRIBUTED]</w:t>
            </w:r>
          </w:p>
        </w:tc>
      </w:tr>
      <w:tr w:rsidR="006E4963" w:rsidRPr="00310987" w14:paraId="688BF428" w14:textId="77777777" w:rsidTr="00644EDC">
        <w:trPr>
          <w:trHeight w:val="467"/>
        </w:trPr>
        <w:tc>
          <w:tcPr>
            <w:tcW w:w="864" w:type="dxa"/>
            <w:tcBorders>
              <w:bottom w:val="single" w:sz="4" w:space="0" w:color="auto"/>
            </w:tcBorders>
          </w:tcPr>
          <w:p w14:paraId="11E6D39E" w14:textId="77777777" w:rsidR="006E4963" w:rsidRPr="00310987" w:rsidRDefault="006E4963" w:rsidP="006E4963">
            <w:pPr>
              <w:jc w:val="center"/>
            </w:pPr>
            <w:r w:rsidRPr="00310987">
              <w:t>6</w:t>
            </w:r>
          </w:p>
        </w:tc>
        <w:tc>
          <w:tcPr>
            <w:tcW w:w="1381" w:type="dxa"/>
            <w:tcBorders>
              <w:bottom w:val="single" w:sz="4" w:space="0" w:color="auto"/>
            </w:tcBorders>
          </w:tcPr>
          <w:p w14:paraId="5F510FD1" w14:textId="54E14CFF" w:rsidR="006E4963" w:rsidRPr="00310987" w:rsidRDefault="006E4963" w:rsidP="006E4963">
            <w:r>
              <w:t>7/8</w:t>
            </w:r>
          </w:p>
        </w:tc>
        <w:tc>
          <w:tcPr>
            <w:tcW w:w="8213" w:type="dxa"/>
            <w:tcBorders>
              <w:bottom w:val="single" w:sz="4" w:space="0" w:color="auto"/>
            </w:tcBorders>
          </w:tcPr>
          <w:p w14:paraId="43D8A057" w14:textId="6B4A3865" w:rsidR="006E4963" w:rsidRPr="00BB5B99" w:rsidRDefault="002B3EEF" w:rsidP="006E4963">
            <w:r>
              <w:t xml:space="preserve">Sonnets: Sidney, Shakespeare, and Spenser </w:t>
            </w:r>
          </w:p>
        </w:tc>
      </w:tr>
      <w:tr w:rsidR="006E4963" w:rsidRPr="00310987" w14:paraId="5F1A5D7E" w14:textId="77777777" w:rsidTr="00644EDC">
        <w:trPr>
          <w:trHeight w:val="432"/>
        </w:trPr>
        <w:tc>
          <w:tcPr>
            <w:tcW w:w="864" w:type="dxa"/>
            <w:tcBorders>
              <w:bottom w:val="single" w:sz="4" w:space="0" w:color="auto"/>
            </w:tcBorders>
          </w:tcPr>
          <w:p w14:paraId="5C229878" w14:textId="780C4951" w:rsidR="006E4963" w:rsidRPr="00310987" w:rsidRDefault="006E4963" w:rsidP="006E4963">
            <w:pPr>
              <w:jc w:val="center"/>
            </w:pPr>
            <w:r>
              <w:t>6</w:t>
            </w:r>
          </w:p>
        </w:tc>
        <w:tc>
          <w:tcPr>
            <w:tcW w:w="1381" w:type="dxa"/>
            <w:tcBorders>
              <w:bottom w:val="single" w:sz="4" w:space="0" w:color="auto"/>
            </w:tcBorders>
          </w:tcPr>
          <w:p w14:paraId="364009B0" w14:textId="46B47E9D" w:rsidR="006E4963" w:rsidRPr="00310987" w:rsidRDefault="006E4963" w:rsidP="006E4963">
            <w:r>
              <w:t>7/10</w:t>
            </w:r>
          </w:p>
        </w:tc>
        <w:tc>
          <w:tcPr>
            <w:tcW w:w="8213" w:type="dxa"/>
            <w:tcBorders>
              <w:bottom w:val="single" w:sz="4" w:space="0" w:color="auto"/>
            </w:tcBorders>
          </w:tcPr>
          <w:p w14:paraId="51C07376" w14:textId="75C30F2A" w:rsidR="006E4963" w:rsidRPr="00BB5B99" w:rsidRDefault="00E20BE9" w:rsidP="006E4963">
            <w:r>
              <w:t xml:space="preserve">Marlowe’s </w:t>
            </w:r>
            <w:r w:rsidRPr="00E20BE9">
              <w:rPr>
                <w:i/>
              </w:rPr>
              <w:t>The Tragical History of Doctor Faustus</w:t>
            </w:r>
            <w:r>
              <w:t xml:space="preserve"> (A Text)</w:t>
            </w:r>
          </w:p>
        </w:tc>
      </w:tr>
      <w:tr w:rsidR="006E4963" w:rsidRPr="00310987" w14:paraId="679C005C" w14:textId="77777777" w:rsidTr="00644EDC">
        <w:trPr>
          <w:trHeight w:val="432"/>
        </w:trPr>
        <w:tc>
          <w:tcPr>
            <w:tcW w:w="864" w:type="dxa"/>
            <w:tcBorders>
              <w:bottom w:val="single" w:sz="4" w:space="0" w:color="auto"/>
            </w:tcBorders>
          </w:tcPr>
          <w:p w14:paraId="11818CA2" w14:textId="77777777" w:rsidR="006E4963" w:rsidRPr="00310987" w:rsidRDefault="006E4963" w:rsidP="006E4963">
            <w:pPr>
              <w:jc w:val="center"/>
            </w:pPr>
            <w:r w:rsidRPr="00310987">
              <w:t>7</w:t>
            </w:r>
          </w:p>
        </w:tc>
        <w:tc>
          <w:tcPr>
            <w:tcW w:w="1381" w:type="dxa"/>
            <w:tcBorders>
              <w:bottom w:val="single" w:sz="4" w:space="0" w:color="auto"/>
            </w:tcBorders>
          </w:tcPr>
          <w:p w14:paraId="31FCDEDF" w14:textId="68C98704" w:rsidR="006E4963" w:rsidRPr="00310987" w:rsidRDefault="006E4963" w:rsidP="006E4963">
            <w:r>
              <w:t>7/15</w:t>
            </w:r>
          </w:p>
        </w:tc>
        <w:tc>
          <w:tcPr>
            <w:tcW w:w="8213" w:type="dxa"/>
            <w:tcBorders>
              <w:bottom w:val="single" w:sz="4" w:space="0" w:color="auto"/>
            </w:tcBorders>
          </w:tcPr>
          <w:p w14:paraId="08DF5E1B" w14:textId="5E864FB1" w:rsidR="00614093" w:rsidRPr="003B7BC2" w:rsidRDefault="00E20BE9" w:rsidP="006E4963">
            <w:pPr>
              <w:rPr>
                <w:color w:val="0000FF"/>
                <w:u w:val="single"/>
              </w:rPr>
            </w:pPr>
            <w:r>
              <w:t xml:space="preserve">Sir Walter </w:t>
            </w:r>
            <w:proofErr w:type="spellStart"/>
            <w:r>
              <w:t>Ralegh</w:t>
            </w:r>
            <w:proofErr w:type="spellEnd"/>
            <w:r>
              <w:t xml:space="preserve">, excerpts from “The discovery of the large, rich, and beautiful Empire of Guiana,” and Harriot’s </w:t>
            </w:r>
            <w:proofErr w:type="spellStart"/>
            <w:r w:rsidRPr="006225EC">
              <w:rPr>
                <w:i/>
              </w:rPr>
              <w:t>Briefe</w:t>
            </w:r>
            <w:proofErr w:type="spellEnd"/>
            <w:r w:rsidRPr="006225EC">
              <w:rPr>
                <w:i/>
              </w:rPr>
              <w:t xml:space="preserve"> and True Report of the Newfound Land of Virginia</w:t>
            </w:r>
            <w:r>
              <w:t xml:space="preserve">. </w:t>
            </w:r>
            <w:hyperlink r:id="rId13" w:history="1">
              <w:r w:rsidRPr="008F1B0F">
                <w:rPr>
                  <w:rStyle w:val="Hyperlink"/>
                </w:rPr>
                <w:t>http://digitalcommons.unl.edu/cgi/viewcontent.cgi?article=1020&amp;context=etas</w:t>
              </w:r>
            </w:hyperlink>
          </w:p>
          <w:p w14:paraId="4CFED772" w14:textId="40F051FE" w:rsidR="003B7BC2" w:rsidRPr="00D962A7" w:rsidRDefault="003B7BC2" w:rsidP="006E4963">
            <w:r>
              <w:t>Read also “The English in Virginia” 481-488</w:t>
            </w:r>
          </w:p>
        </w:tc>
      </w:tr>
      <w:tr w:rsidR="003B7BC2" w:rsidRPr="00310987" w14:paraId="3C4A4645" w14:textId="77777777" w:rsidTr="00644EDC">
        <w:trPr>
          <w:trHeight w:val="467"/>
        </w:trPr>
        <w:tc>
          <w:tcPr>
            <w:tcW w:w="864" w:type="dxa"/>
            <w:tcBorders>
              <w:bottom w:val="single" w:sz="4" w:space="0" w:color="auto"/>
            </w:tcBorders>
          </w:tcPr>
          <w:p w14:paraId="72FACED7" w14:textId="08769192" w:rsidR="003B7BC2" w:rsidRDefault="003B7BC2" w:rsidP="006E4963">
            <w:pPr>
              <w:jc w:val="center"/>
            </w:pPr>
            <w:r>
              <w:t>7</w:t>
            </w:r>
          </w:p>
        </w:tc>
        <w:tc>
          <w:tcPr>
            <w:tcW w:w="1381" w:type="dxa"/>
            <w:tcBorders>
              <w:bottom w:val="single" w:sz="4" w:space="0" w:color="auto"/>
            </w:tcBorders>
          </w:tcPr>
          <w:p w14:paraId="1ADE071E" w14:textId="3845A293" w:rsidR="003B7BC2" w:rsidRDefault="003B7BC2" w:rsidP="006E4963">
            <w:r>
              <w:t>7/17</w:t>
            </w:r>
          </w:p>
        </w:tc>
        <w:tc>
          <w:tcPr>
            <w:tcW w:w="8213" w:type="dxa"/>
            <w:tcBorders>
              <w:bottom w:val="single" w:sz="4" w:space="0" w:color="auto"/>
            </w:tcBorders>
          </w:tcPr>
          <w:p w14:paraId="52C3CADC" w14:textId="7A1CDB06" w:rsidR="003B7BC2" w:rsidRDefault="003B7BC2" w:rsidP="006E4963">
            <w:r>
              <w:t xml:space="preserve">Shakespeare, </w:t>
            </w:r>
            <w:r w:rsidRPr="003B7BC2">
              <w:rPr>
                <w:i/>
              </w:rPr>
              <w:t>The Tempest</w:t>
            </w:r>
          </w:p>
        </w:tc>
      </w:tr>
      <w:tr w:rsidR="006E4963" w:rsidRPr="00310987" w14:paraId="512BE3F1" w14:textId="77777777" w:rsidTr="00644EDC">
        <w:trPr>
          <w:trHeight w:val="467"/>
        </w:trPr>
        <w:tc>
          <w:tcPr>
            <w:tcW w:w="864" w:type="dxa"/>
            <w:tcBorders>
              <w:bottom w:val="single" w:sz="4" w:space="0" w:color="auto"/>
            </w:tcBorders>
          </w:tcPr>
          <w:p w14:paraId="706A6C2B" w14:textId="53886289" w:rsidR="006E4963" w:rsidRPr="00310987" w:rsidRDefault="006E4963" w:rsidP="006E4963">
            <w:pPr>
              <w:jc w:val="center"/>
            </w:pPr>
            <w:r>
              <w:t>8</w:t>
            </w:r>
          </w:p>
        </w:tc>
        <w:tc>
          <w:tcPr>
            <w:tcW w:w="1381" w:type="dxa"/>
            <w:tcBorders>
              <w:bottom w:val="single" w:sz="4" w:space="0" w:color="auto"/>
            </w:tcBorders>
          </w:tcPr>
          <w:p w14:paraId="3DC4ACC6" w14:textId="076FD1E2" w:rsidR="006E4963" w:rsidRDefault="006E4963" w:rsidP="006E4963">
            <w:r>
              <w:t>7/22</w:t>
            </w:r>
          </w:p>
        </w:tc>
        <w:tc>
          <w:tcPr>
            <w:tcW w:w="8213" w:type="dxa"/>
            <w:tcBorders>
              <w:bottom w:val="single" w:sz="4" w:space="0" w:color="auto"/>
            </w:tcBorders>
          </w:tcPr>
          <w:p w14:paraId="3D250B36" w14:textId="2962154A" w:rsidR="006E4963" w:rsidRDefault="003B7BC2" w:rsidP="006E4963">
            <w:r>
              <w:t xml:space="preserve">ESSAY 1 DUE </w:t>
            </w:r>
            <w:r w:rsidR="00B012FB">
              <w:t>17</w:t>
            </w:r>
            <w:r w:rsidR="00B012FB" w:rsidRPr="005B62D0">
              <w:rPr>
                <w:vertAlign w:val="superscript"/>
              </w:rPr>
              <w:t>th</w:t>
            </w:r>
            <w:r w:rsidR="00B012FB">
              <w:t xml:space="preserve"> Century Introduction; The Metaphysical Poets John Donne: “The Flea”; “The Good Morrow,” “The Sun Rising”; “Break of Day”; “A Valediction Forbidding Mourning”; Elegy 16 “To His Mistress Going to Bed,” and Holy Sonnets, 1, 5, 9, 19, 14</w:t>
            </w:r>
          </w:p>
        </w:tc>
      </w:tr>
      <w:tr w:rsidR="006E4963" w:rsidRPr="00310987" w14:paraId="781C8AF3" w14:textId="77777777" w:rsidTr="00644EDC">
        <w:trPr>
          <w:trHeight w:val="467"/>
        </w:trPr>
        <w:tc>
          <w:tcPr>
            <w:tcW w:w="864" w:type="dxa"/>
            <w:tcBorders>
              <w:bottom w:val="single" w:sz="4" w:space="0" w:color="auto"/>
            </w:tcBorders>
          </w:tcPr>
          <w:p w14:paraId="62E969E6" w14:textId="3EDB23E4" w:rsidR="006E4963" w:rsidRDefault="006E4963" w:rsidP="006E4963">
            <w:pPr>
              <w:jc w:val="center"/>
            </w:pPr>
            <w:r>
              <w:t>8</w:t>
            </w:r>
          </w:p>
        </w:tc>
        <w:tc>
          <w:tcPr>
            <w:tcW w:w="1381" w:type="dxa"/>
            <w:tcBorders>
              <w:bottom w:val="single" w:sz="4" w:space="0" w:color="auto"/>
            </w:tcBorders>
          </w:tcPr>
          <w:p w14:paraId="2F908DD9" w14:textId="45E3BCD3" w:rsidR="006E4963" w:rsidRDefault="006E4963" w:rsidP="006E4963">
            <w:r>
              <w:t>7/24</w:t>
            </w:r>
          </w:p>
        </w:tc>
        <w:tc>
          <w:tcPr>
            <w:tcW w:w="8213" w:type="dxa"/>
            <w:tcBorders>
              <w:bottom w:val="single" w:sz="4" w:space="0" w:color="auto"/>
            </w:tcBorders>
          </w:tcPr>
          <w:p w14:paraId="579E89E2" w14:textId="7E36B5B5" w:rsidR="006E4963" w:rsidRDefault="00B012FB" w:rsidP="006E4963">
            <w:r>
              <w:t xml:space="preserve">Milton, </w:t>
            </w:r>
            <w:r>
              <w:rPr>
                <w:i/>
              </w:rPr>
              <w:t>Paradise Lost</w:t>
            </w:r>
            <w:r>
              <w:t>, Headnote, Books 1 &amp;</w:t>
            </w:r>
            <w:proofErr w:type="gramStart"/>
            <w:r>
              <w:t>2  (</w:t>
            </w:r>
            <w:proofErr w:type="gramEnd"/>
            <w:r>
              <w:t>PROMPTS FOR ESSAY 2)</w:t>
            </w:r>
          </w:p>
        </w:tc>
      </w:tr>
      <w:tr w:rsidR="006E4963" w:rsidRPr="00310987" w14:paraId="39418CBA" w14:textId="77777777" w:rsidTr="00644EDC">
        <w:trPr>
          <w:trHeight w:val="467"/>
        </w:trPr>
        <w:tc>
          <w:tcPr>
            <w:tcW w:w="864" w:type="dxa"/>
            <w:tcBorders>
              <w:bottom w:val="single" w:sz="4" w:space="0" w:color="auto"/>
            </w:tcBorders>
          </w:tcPr>
          <w:p w14:paraId="2F864F10" w14:textId="340C1410" w:rsidR="006E4963" w:rsidRDefault="006E4963" w:rsidP="006E4963">
            <w:pPr>
              <w:jc w:val="center"/>
            </w:pPr>
            <w:r>
              <w:t>9</w:t>
            </w:r>
          </w:p>
        </w:tc>
        <w:tc>
          <w:tcPr>
            <w:tcW w:w="1381" w:type="dxa"/>
            <w:tcBorders>
              <w:bottom w:val="single" w:sz="4" w:space="0" w:color="auto"/>
            </w:tcBorders>
          </w:tcPr>
          <w:p w14:paraId="4E93EBFB" w14:textId="30D796F9" w:rsidR="006E4963" w:rsidRDefault="006E4963" w:rsidP="006E4963">
            <w:r>
              <w:t>7/29</w:t>
            </w:r>
          </w:p>
        </w:tc>
        <w:tc>
          <w:tcPr>
            <w:tcW w:w="8213" w:type="dxa"/>
            <w:tcBorders>
              <w:bottom w:val="single" w:sz="4" w:space="0" w:color="auto"/>
            </w:tcBorders>
          </w:tcPr>
          <w:p w14:paraId="1BD0EDDA" w14:textId="4C22686D" w:rsidR="006E4963" w:rsidRDefault="00B012FB" w:rsidP="006E4963">
            <w:r>
              <w:t xml:space="preserve">Milton, </w:t>
            </w:r>
            <w:r>
              <w:rPr>
                <w:i/>
              </w:rPr>
              <w:t>Paradise Lost,</w:t>
            </w:r>
            <w:r>
              <w:t xml:space="preserve"> </w:t>
            </w:r>
            <w:proofErr w:type="gramStart"/>
            <w:r>
              <w:t>Book</w:t>
            </w:r>
            <w:proofErr w:type="gramEnd"/>
            <w:r>
              <w:t xml:space="preserve"> 3 (lines 1-86), Book 4 &amp; 9</w:t>
            </w:r>
          </w:p>
        </w:tc>
      </w:tr>
      <w:tr w:rsidR="006E4963" w:rsidRPr="00310987" w14:paraId="72EB9A39" w14:textId="77777777" w:rsidTr="00644EDC">
        <w:trPr>
          <w:trHeight w:val="467"/>
        </w:trPr>
        <w:tc>
          <w:tcPr>
            <w:tcW w:w="864" w:type="dxa"/>
            <w:tcBorders>
              <w:bottom w:val="single" w:sz="4" w:space="0" w:color="auto"/>
            </w:tcBorders>
          </w:tcPr>
          <w:p w14:paraId="6E5C09EA" w14:textId="2AB46237" w:rsidR="006E4963" w:rsidRPr="00310987" w:rsidRDefault="006E4963" w:rsidP="006E4963">
            <w:pPr>
              <w:jc w:val="center"/>
            </w:pPr>
            <w:r>
              <w:t>9</w:t>
            </w:r>
          </w:p>
        </w:tc>
        <w:tc>
          <w:tcPr>
            <w:tcW w:w="1381" w:type="dxa"/>
            <w:tcBorders>
              <w:bottom w:val="single" w:sz="4" w:space="0" w:color="auto"/>
            </w:tcBorders>
          </w:tcPr>
          <w:p w14:paraId="5BF550A0" w14:textId="3270D09D" w:rsidR="006E4963" w:rsidRDefault="006E4963" w:rsidP="006E4963">
            <w:r>
              <w:t>7/31</w:t>
            </w:r>
          </w:p>
        </w:tc>
        <w:tc>
          <w:tcPr>
            <w:tcW w:w="8213" w:type="dxa"/>
            <w:tcBorders>
              <w:bottom w:val="single" w:sz="4" w:space="0" w:color="auto"/>
            </w:tcBorders>
          </w:tcPr>
          <w:p w14:paraId="6D230109" w14:textId="414BDC29" w:rsidR="006E4963" w:rsidRPr="00CD7660" w:rsidRDefault="00B012FB" w:rsidP="006E4963">
            <w:r>
              <w:t xml:space="preserve">Milton, </w:t>
            </w:r>
            <w:r>
              <w:rPr>
                <w:i/>
              </w:rPr>
              <w:t>Paradise Lost,</w:t>
            </w:r>
            <w:r>
              <w:t xml:space="preserve"> Book 10 and 12 (lines 465- end)</w:t>
            </w:r>
          </w:p>
        </w:tc>
      </w:tr>
      <w:tr w:rsidR="006E4963" w:rsidRPr="00310987" w14:paraId="1F8691FE" w14:textId="77777777" w:rsidTr="00644EDC">
        <w:trPr>
          <w:trHeight w:val="432"/>
        </w:trPr>
        <w:tc>
          <w:tcPr>
            <w:tcW w:w="864" w:type="dxa"/>
            <w:tcBorders>
              <w:bottom w:val="single" w:sz="4" w:space="0" w:color="auto"/>
              <w:right w:val="single" w:sz="4" w:space="0" w:color="auto"/>
            </w:tcBorders>
          </w:tcPr>
          <w:p w14:paraId="04CCAF89" w14:textId="0C0C5374" w:rsidR="006E4963" w:rsidRPr="00310987" w:rsidRDefault="006E4963" w:rsidP="006E4963">
            <w:pPr>
              <w:jc w:val="center"/>
            </w:pPr>
            <w:r>
              <w:t>10</w:t>
            </w:r>
          </w:p>
        </w:tc>
        <w:tc>
          <w:tcPr>
            <w:tcW w:w="1381" w:type="dxa"/>
            <w:tcBorders>
              <w:top w:val="single" w:sz="4" w:space="0" w:color="auto"/>
              <w:left w:val="single" w:sz="4" w:space="0" w:color="auto"/>
              <w:bottom w:val="single" w:sz="4" w:space="0" w:color="auto"/>
              <w:right w:val="single" w:sz="4" w:space="0" w:color="auto"/>
            </w:tcBorders>
          </w:tcPr>
          <w:p w14:paraId="3B76C435" w14:textId="17464CEE" w:rsidR="006E4963" w:rsidRPr="00310987" w:rsidRDefault="006E4963" w:rsidP="006E4963">
            <w:r>
              <w:t>8/5</w:t>
            </w:r>
          </w:p>
        </w:tc>
        <w:tc>
          <w:tcPr>
            <w:tcW w:w="8213" w:type="dxa"/>
            <w:tcBorders>
              <w:top w:val="single" w:sz="4" w:space="0" w:color="auto"/>
              <w:left w:val="single" w:sz="4" w:space="0" w:color="auto"/>
              <w:bottom w:val="single" w:sz="4" w:space="0" w:color="auto"/>
              <w:right w:val="single" w:sz="4" w:space="0" w:color="auto"/>
            </w:tcBorders>
          </w:tcPr>
          <w:p w14:paraId="5651E9E3" w14:textId="598EBCE6" w:rsidR="006E4963" w:rsidRPr="00D962A7" w:rsidRDefault="001C3027" w:rsidP="006E4963">
            <w:r>
              <w:t xml:space="preserve">ESSAY 2 DUE </w:t>
            </w:r>
            <w:r w:rsidR="00B012FB">
              <w:t xml:space="preserve">Anne Bradstreet, “In Honor of Queen Elizabeth” </w:t>
            </w:r>
            <w:hyperlink r:id="rId14" w:history="1">
              <w:r w:rsidR="00B012FB" w:rsidRPr="00FB3E4F">
                <w:rPr>
                  <w:rStyle w:val="Hyperlink"/>
                </w:rPr>
                <w:t>https://www.poetryfoundation.org/poems/43703/in-honour-of-that-high-and-mighty-princess-queen-elizabeth</w:t>
              </w:r>
            </w:hyperlink>
            <w:r w:rsidR="00B012FB">
              <w:t xml:space="preserve">, “The Flesh and the Spirit” </w:t>
            </w:r>
            <w:hyperlink r:id="rId15" w:history="1">
              <w:r w:rsidR="00B012FB" w:rsidRPr="00FB3E4F">
                <w:rPr>
                  <w:rStyle w:val="Hyperlink"/>
                </w:rPr>
                <w:t>https://genius.com/Anne-bradstreet-flesh-and-the-spirit-the-annotated</w:t>
              </w:r>
            </w:hyperlink>
          </w:p>
        </w:tc>
      </w:tr>
      <w:tr w:rsidR="006E4963" w:rsidRPr="00310987" w14:paraId="713DD2F2" w14:textId="77777777" w:rsidTr="00644EDC">
        <w:trPr>
          <w:trHeight w:val="432"/>
        </w:trPr>
        <w:tc>
          <w:tcPr>
            <w:tcW w:w="864" w:type="dxa"/>
          </w:tcPr>
          <w:p w14:paraId="50A005F4" w14:textId="7FE81C85" w:rsidR="006E4963" w:rsidRPr="00310987" w:rsidRDefault="006E4963" w:rsidP="006E4963">
            <w:pPr>
              <w:jc w:val="center"/>
            </w:pPr>
            <w:r>
              <w:t>10</w:t>
            </w:r>
          </w:p>
        </w:tc>
        <w:tc>
          <w:tcPr>
            <w:tcW w:w="1381" w:type="dxa"/>
          </w:tcPr>
          <w:p w14:paraId="26113915" w14:textId="63CE4F9D" w:rsidR="006E4963" w:rsidRPr="00310987" w:rsidRDefault="006E4963" w:rsidP="006E4963">
            <w:r>
              <w:t>8/7</w:t>
            </w:r>
          </w:p>
        </w:tc>
        <w:tc>
          <w:tcPr>
            <w:tcW w:w="8213" w:type="dxa"/>
          </w:tcPr>
          <w:p w14:paraId="7DC7B37E" w14:textId="36FAB7D8" w:rsidR="006E4963" w:rsidRPr="004750A7" w:rsidRDefault="00B012FB" w:rsidP="006E4963">
            <w:r>
              <w:t>FINAL EXAM</w:t>
            </w:r>
          </w:p>
        </w:tc>
      </w:tr>
      <w:bookmarkEnd w:id="0"/>
    </w:tbl>
    <w:p w14:paraId="39648329" w14:textId="77777777" w:rsidR="005B40C1" w:rsidRPr="00A4266F" w:rsidRDefault="005B40C1" w:rsidP="00A4266F">
      <w:pPr>
        <w:jc w:val="right"/>
      </w:pPr>
    </w:p>
    <w:sectPr w:rsidR="005B40C1" w:rsidRPr="00A4266F" w:rsidSect="00371E3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E9491" w14:textId="77777777" w:rsidR="00FA691E" w:rsidRDefault="00FA691E">
      <w:r>
        <w:separator/>
      </w:r>
    </w:p>
  </w:endnote>
  <w:endnote w:type="continuationSeparator" w:id="0">
    <w:p w14:paraId="5BC72295" w14:textId="77777777" w:rsidR="00FA691E" w:rsidRDefault="00FA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0D5A" w14:textId="23DFE21A" w:rsidR="002F6AD3" w:rsidRDefault="00AC7F3A" w:rsidP="00E22102">
    <w:pPr>
      <w:pStyle w:val="Footer"/>
      <w:tabs>
        <w:tab w:val="clear" w:pos="8640"/>
        <w:tab w:val="right" w:pos="8190"/>
      </w:tabs>
      <w:ind w:right="360"/>
    </w:pPr>
    <w:r>
      <w:t>E</w:t>
    </w:r>
    <w:r w:rsidR="00D31C73">
      <w:t>NGL 50</w:t>
    </w:r>
    <w:r>
      <w:t xml:space="preserve">: </w:t>
    </w:r>
    <w:r w:rsidR="00D31C73">
      <w:t>Beginnings to the American Experiment</w:t>
    </w:r>
    <w:r w:rsidR="00644EDC">
      <w:t xml:space="preserve"> </w:t>
    </w:r>
    <w:r w:rsidR="001509AA">
      <w:t>–</w:t>
    </w:r>
    <w:r w:rsidR="00644EDC">
      <w:t xml:space="preserve"> </w:t>
    </w:r>
    <w:proofErr w:type="gramStart"/>
    <w:r w:rsidR="001509AA">
      <w:t xml:space="preserve">Summer </w:t>
    </w:r>
    <w:r w:rsidR="003F0634">
      <w:t xml:space="preserve"> 2019</w:t>
    </w:r>
    <w:proofErr w:type="gramEnd"/>
    <w:r w:rsidR="003F0634">
      <w:tab/>
    </w:r>
    <w:r w:rsidR="002F6AD3">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352066">
      <w:rPr>
        <w:rStyle w:val="PageNumber"/>
        <w:noProof/>
      </w:rPr>
      <w:t>1</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352066">
      <w:rPr>
        <w:rStyle w:val="PageNumber"/>
        <w:noProof/>
      </w:rPr>
      <w:t>7</w:t>
    </w:r>
    <w:r w:rsidR="002F6AD3">
      <w:rPr>
        <w:rStyle w:val="PageNumber"/>
      </w:rPr>
      <w:fldChar w:fldCharType="end"/>
    </w:r>
    <w:r w:rsidR="002F6AD3">
      <w:t xml:space="preserve"> </w:t>
    </w:r>
    <w:r w:rsidR="002F6AD3">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9D46" w14:textId="77777777" w:rsidR="00FA691E" w:rsidRDefault="00FA691E">
      <w:r>
        <w:separator/>
      </w:r>
    </w:p>
  </w:footnote>
  <w:footnote w:type="continuationSeparator" w:id="0">
    <w:p w14:paraId="58C58A1F" w14:textId="77777777" w:rsidR="00FA691E" w:rsidRDefault="00FA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1456"/>
    <w:multiLevelType w:val="hybridMultilevel"/>
    <w:tmpl w:val="80F0116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6"/>
  </w:num>
  <w:num w:numId="3">
    <w:abstractNumId w:val="13"/>
  </w:num>
  <w:num w:numId="4">
    <w:abstractNumId w:val="19"/>
  </w:num>
  <w:num w:numId="5">
    <w:abstractNumId w:val="0"/>
  </w:num>
  <w:num w:numId="6">
    <w:abstractNumId w:val="12"/>
  </w:num>
  <w:num w:numId="7">
    <w:abstractNumId w:val="8"/>
  </w:num>
  <w:num w:numId="8">
    <w:abstractNumId w:val="21"/>
  </w:num>
  <w:num w:numId="9">
    <w:abstractNumId w:val="2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1"/>
  </w:num>
  <w:num w:numId="15">
    <w:abstractNumId w:val="28"/>
  </w:num>
  <w:num w:numId="16">
    <w:abstractNumId w:val="5"/>
  </w:num>
  <w:num w:numId="17">
    <w:abstractNumId w:val="17"/>
  </w:num>
  <w:num w:numId="18">
    <w:abstractNumId w:val="7"/>
  </w:num>
  <w:num w:numId="19">
    <w:abstractNumId w:val="6"/>
  </w:num>
  <w:num w:numId="20">
    <w:abstractNumId w:val="18"/>
  </w:num>
  <w:num w:numId="21">
    <w:abstractNumId w:val="25"/>
  </w:num>
  <w:num w:numId="22">
    <w:abstractNumId w:val="20"/>
  </w:num>
  <w:num w:numId="23">
    <w:abstractNumId w:val="9"/>
  </w:num>
  <w:num w:numId="24">
    <w:abstractNumId w:val="27"/>
  </w:num>
  <w:num w:numId="25">
    <w:abstractNumId w:val="15"/>
  </w:num>
  <w:num w:numId="26">
    <w:abstractNumId w:val="10"/>
  </w:num>
  <w:num w:numId="27">
    <w:abstractNumId w:val="2"/>
  </w:num>
  <w:num w:numId="28">
    <w:abstractNumId w:val="22"/>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815FE8"/>
    <w:rsid w:val="00003DE9"/>
    <w:rsid w:val="000079CC"/>
    <w:rsid w:val="000105D9"/>
    <w:rsid w:val="0001310F"/>
    <w:rsid w:val="000237AE"/>
    <w:rsid w:val="000246E9"/>
    <w:rsid w:val="00025854"/>
    <w:rsid w:val="00031218"/>
    <w:rsid w:val="0003291E"/>
    <w:rsid w:val="00033F38"/>
    <w:rsid w:val="00034FC1"/>
    <w:rsid w:val="00035655"/>
    <w:rsid w:val="000377A7"/>
    <w:rsid w:val="000379A5"/>
    <w:rsid w:val="00041144"/>
    <w:rsid w:val="000443AB"/>
    <w:rsid w:val="00050108"/>
    <w:rsid w:val="00054A92"/>
    <w:rsid w:val="000553BA"/>
    <w:rsid w:val="000573EF"/>
    <w:rsid w:val="00057B93"/>
    <w:rsid w:val="000633B4"/>
    <w:rsid w:val="00067585"/>
    <w:rsid w:val="00071A57"/>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4661"/>
    <w:rsid w:val="000B5307"/>
    <w:rsid w:val="000B59ED"/>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2346"/>
    <w:rsid w:val="00113C04"/>
    <w:rsid w:val="0012511A"/>
    <w:rsid w:val="00127111"/>
    <w:rsid w:val="00130815"/>
    <w:rsid w:val="00131489"/>
    <w:rsid w:val="001322BB"/>
    <w:rsid w:val="0013574C"/>
    <w:rsid w:val="00137C1D"/>
    <w:rsid w:val="001416CE"/>
    <w:rsid w:val="00145568"/>
    <w:rsid w:val="00145CC6"/>
    <w:rsid w:val="00146B10"/>
    <w:rsid w:val="001509AA"/>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861C0"/>
    <w:rsid w:val="001A5851"/>
    <w:rsid w:val="001A6119"/>
    <w:rsid w:val="001B3D42"/>
    <w:rsid w:val="001B4784"/>
    <w:rsid w:val="001B5884"/>
    <w:rsid w:val="001B61EB"/>
    <w:rsid w:val="001B77CC"/>
    <w:rsid w:val="001C0A2B"/>
    <w:rsid w:val="001C3027"/>
    <w:rsid w:val="001C37C9"/>
    <w:rsid w:val="001C69F7"/>
    <w:rsid w:val="001D3A6B"/>
    <w:rsid w:val="001D5101"/>
    <w:rsid w:val="001E2FA7"/>
    <w:rsid w:val="001E5643"/>
    <w:rsid w:val="001F5F14"/>
    <w:rsid w:val="001F6230"/>
    <w:rsid w:val="001F722E"/>
    <w:rsid w:val="0020209C"/>
    <w:rsid w:val="002041FF"/>
    <w:rsid w:val="0020681E"/>
    <w:rsid w:val="00211CAF"/>
    <w:rsid w:val="00211E73"/>
    <w:rsid w:val="002178EA"/>
    <w:rsid w:val="00224D20"/>
    <w:rsid w:val="00225F69"/>
    <w:rsid w:val="00230347"/>
    <w:rsid w:val="00230ABC"/>
    <w:rsid w:val="00230B44"/>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A5E61"/>
    <w:rsid w:val="002B3EEF"/>
    <w:rsid w:val="002B50F6"/>
    <w:rsid w:val="002B6966"/>
    <w:rsid w:val="002B6DC5"/>
    <w:rsid w:val="002C4764"/>
    <w:rsid w:val="002D09BF"/>
    <w:rsid w:val="002D1995"/>
    <w:rsid w:val="002D3526"/>
    <w:rsid w:val="002E0DEE"/>
    <w:rsid w:val="002E5623"/>
    <w:rsid w:val="002E617F"/>
    <w:rsid w:val="002F4247"/>
    <w:rsid w:val="002F596B"/>
    <w:rsid w:val="002F5C2F"/>
    <w:rsid w:val="002F6AD3"/>
    <w:rsid w:val="00303509"/>
    <w:rsid w:val="00310261"/>
    <w:rsid w:val="00310968"/>
    <w:rsid w:val="00310987"/>
    <w:rsid w:val="00311B40"/>
    <w:rsid w:val="0031473B"/>
    <w:rsid w:val="00317530"/>
    <w:rsid w:val="00322CB4"/>
    <w:rsid w:val="00322D70"/>
    <w:rsid w:val="00324601"/>
    <w:rsid w:val="0032567E"/>
    <w:rsid w:val="00326BC8"/>
    <w:rsid w:val="00327189"/>
    <w:rsid w:val="0032789D"/>
    <w:rsid w:val="00332763"/>
    <w:rsid w:val="00333EE5"/>
    <w:rsid w:val="003350FA"/>
    <w:rsid w:val="00340807"/>
    <w:rsid w:val="00342B0E"/>
    <w:rsid w:val="003447CB"/>
    <w:rsid w:val="00352066"/>
    <w:rsid w:val="003533D7"/>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7C94"/>
    <w:rsid w:val="003B005E"/>
    <w:rsid w:val="003B4F56"/>
    <w:rsid w:val="003B6845"/>
    <w:rsid w:val="003B6ECC"/>
    <w:rsid w:val="003B7BC2"/>
    <w:rsid w:val="003C1CF1"/>
    <w:rsid w:val="003C752E"/>
    <w:rsid w:val="003D0F28"/>
    <w:rsid w:val="003D241F"/>
    <w:rsid w:val="003D2E57"/>
    <w:rsid w:val="003D4C2D"/>
    <w:rsid w:val="003D6255"/>
    <w:rsid w:val="003E0353"/>
    <w:rsid w:val="003E1CDE"/>
    <w:rsid w:val="003E4226"/>
    <w:rsid w:val="003F0634"/>
    <w:rsid w:val="003F5641"/>
    <w:rsid w:val="004020DB"/>
    <w:rsid w:val="00402C42"/>
    <w:rsid w:val="004048DA"/>
    <w:rsid w:val="0040586A"/>
    <w:rsid w:val="0040642A"/>
    <w:rsid w:val="004065DA"/>
    <w:rsid w:val="00411924"/>
    <w:rsid w:val="004149E0"/>
    <w:rsid w:val="00416F53"/>
    <w:rsid w:val="00417A7E"/>
    <w:rsid w:val="00430664"/>
    <w:rsid w:val="00432818"/>
    <w:rsid w:val="00444779"/>
    <w:rsid w:val="00444C92"/>
    <w:rsid w:val="00451E0C"/>
    <w:rsid w:val="004522DE"/>
    <w:rsid w:val="00453564"/>
    <w:rsid w:val="00454284"/>
    <w:rsid w:val="004620DD"/>
    <w:rsid w:val="00462305"/>
    <w:rsid w:val="0046273B"/>
    <w:rsid w:val="00467AA9"/>
    <w:rsid w:val="004735C2"/>
    <w:rsid w:val="004750A7"/>
    <w:rsid w:val="0048282F"/>
    <w:rsid w:val="00485049"/>
    <w:rsid w:val="00486C8C"/>
    <w:rsid w:val="00490D00"/>
    <w:rsid w:val="00491293"/>
    <w:rsid w:val="0049212C"/>
    <w:rsid w:val="00494EF0"/>
    <w:rsid w:val="00496EAD"/>
    <w:rsid w:val="00497460"/>
    <w:rsid w:val="004A0058"/>
    <w:rsid w:val="004A0E10"/>
    <w:rsid w:val="004A6CBC"/>
    <w:rsid w:val="004B62BD"/>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3E2D"/>
    <w:rsid w:val="00565094"/>
    <w:rsid w:val="0056584A"/>
    <w:rsid w:val="0056657C"/>
    <w:rsid w:val="00566652"/>
    <w:rsid w:val="005813F0"/>
    <w:rsid w:val="00581FAD"/>
    <w:rsid w:val="00585F6C"/>
    <w:rsid w:val="00586101"/>
    <w:rsid w:val="0058767B"/>
    <w:rsid w:val="00591596"/>
    <w:rsid w:val="005B16A7"/>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05C8D"/>
    <w:rsid w:val="00613FDC"/>
    <w:rsid w:val="00614093"/>
    <w:rsid w:val="00616D9E"/>
    <w:rsid w:val="00617187"/>
    <w:rsid w:val="0062159E"/>
    <w:rsid w:val="00622091"/>
    <w:rsid w:val="006225EC"/>
    <w:rsid w:val="00622903"/>
    <w:rsid w:val="00623605"/>
    <w:rsid w:val="006270AB"/>
    <w:rsid w:val="00632BF1"/>
    <w:rsid w:val="0063741B"/>
    <w:rsid w:val="00640524"/>
    <w:rsid w:val="0064054F"/>
    <w:rsid w:val="006419DA"/>
    <w:rsid w:val="00643924"/>
    <w:rsid w:val="00644EDC"/>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26A0"/>
    <w:rsid w:val="006C41D2"/>
    <w:rsid w:val="006C5883"/>
    <w:rsid w:val="006C7A06"/>
    <w:rsid w:val="006D044B"/>
    <w:rsid w:val="006D0CE3"/>
    <w:rsid w:val="006D26CC"/>
    <w:rsid w:val="006D42F9"/>
    <w:rsid w:val="006D4F63"/>
    <w:rsid w:val="006E2575"/>
    <w:rsid w:val="006E4963"/>
    <w:rsid w:val="006E7961"/>
    <w:rsid w:val="006F41E9"/>
    <w:rsid w:val="00702B11"/>
    <w:rsid w:val="00704E26"/>
    <w:rsid w:val="007107D4"/>
    <w:rsid w:val="00711D92"/>
    <w:rsid w:val="00712618"/>
    <w:rsid w:val="00712820"/>
    <w:rsid w:val="00713D11"/>
    <w:rsid w:val="0071647B"/>
    <w:rsid w:val="00717562"/>
    <w:rsid w:val="00725257"/>
    <w:rsid w:val="00730C76"/>
    <w:rsid w:val="0073585B"/>
    <w:rsid w:val="00741EBA"/>
    <w:rsid w:val="00745752"/>
    <w:rsid w:val="00751773"/>
    <w:rsid w:val="00753C48"/>
    <w:rsid w:val="00754546"/>
    <w:rsid w:val="00760211"/>
    <w:rsid w:val="00764B6E"/>
    <w:rsid w:val="00767BD9"/>
    <w:rsid w:val="00787E51"/>
    <w:rsid w:val="00795702"/>
    <w:rsid w:val="00795F09"/>
    <w:rsid w:val="0079670E"/>
    <w:rsid w:val="00796A50"/>
    <w:rsid w:val="007A1CAC"/>
    <w:rsid w:val="007A3B7B"/>
    <w:rsid w:val="007A44B0"/>
    <w:rsid w:val="007B01D3"/>
    <w:rsid w:val="007B0B84"/>
    <w:rsid w:val="007B4797"/>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51F1"/>
    <w:rsid w:val="00815FE8"/>
    <w:rsid w:val="00817F5C"/>
    <w:rsid w:val="008270AB"/>
    <w:rsid w:val="0083150B"/>
    <w:rsid w:val="008339A0"/>
    <w:rsid w:val="00836B94"/>
    <w:rsid w:val="00841217"/>
    <w:rsid w:val="008418A1"/>
    <w:rsid w:val="00841FCB"/>
    <w:rsid w:val="00845DB9"/>
    <w:rsid w:val="00854425"/>
    <w:rsid w:val="0085460D"/>
    <w:rsid w:val="00861E4B"/>
    <w:rsid w:val="0086332B"/>
    <w:rsid w:val="00871484"/>
    <w:rsid w:val="0087263C"/>
    <w:rsid w:val="00872B5F"/>
    <w:rsid w:val="00890676"/>
    <w:rsid w:val="008931BC"/>
    <w:rsid w:val="0089462F"/>
    <w:rsid w:val="008979F0"/>
    <w:rsid w:val="008A07D1"/>
    <w:rsid w:val="008A3508"/>
    <w:rsid w:val="008A4F28"/>
    <w:rsid w:val="008B3FA0"/>
    <w:rsid w:val="008B4BF4"/>
    <w:rsid w:val="008B7438"/>
    <w:rsid w:val="008B7F49"/>
    <w:rsid w:val="008C43DA"/>
    <w:rsid w:val="008C4985"/>
    <w:rsid w:val="008C714E"/>
    <w:rsid w:val="008D0656"/>
    <w:rsid w:val="008D2B04"/>
    <w:rsid w:val="008D3ADD"/>
    <w:rsid w:val="008D59CD"/>
    <w:rsid w:val="008D6B3D"/>
    <w:rsid w:val="008E2BA6"/>
    <w:rsid w:val="008E7187"/>
    <w:rsid w:val="008E728F"/>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6ED8"/>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F7"/>
    <w:rsid w:val="009F7F76"/>
    <w:rsid w:val="00A019D9"/>
    <w:rsid w:val="00A10019"/>
    <w:rsid w:val="00A161E0"/>
    <w:rsid w:val="00A17160"/>
    <w:rsid w:val="00A245C9"/>
    <w:rsid w:val="00A26203"/>
    <w:rsid w:val="00A36A86"/>
    <w:rsid w:val="00A40AD7"/>
    <w:rsid w:val="00A410B1"/>
    <w:rsid w:val="00A4266F"/>
    <w:rsid w:val="00A4697D"/>
    <w:rsid w:val="00A619B8"/>
    <w:rsid w:val="00A65D9E"/>
    <w:rsid w:val="00A66D8B"/>
    <w:rsid w:val="00A670B4"/>
    <w:rsid w:val="00A6784A"/>
    <w:rsid w:val="00A67897"/>
    <w:rsid w:val="00A700D5"/>
    <w:rsid w:val="00A70954"/>
    <w:rsid w:val="00A70FA4"/>
    <w:rsid w:val="00A717E0"/>
    <w:rsid w:val="00A729CF"/>
    <w:rsid w:val="00A75F86"/>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C7F3A"/>
    <w:rsid w:val="00AD3780"/>
    <w:rsid w:val="00AD545C"/>
    <w:rsid w:val="00AE1FF7"/>
    <w:rsid w:val="00AE49C4"/>
    <w:rsid w:val="00AF226B"/>
    <w:rsid w:val="00AF33FB"/>
    <w:rsid w:val="00B0073A"/>
    <w:rsid w:val="00B009E5"/>
    <w:rsid w:val="00B012FB"/>
    <w:rsid w:val="00B01E71"/>
    <w:rsid w:val="00B027AE"/>
    <w:rsid w:val="00B06270"/>
    <w:rsid w:val="00B06B3C"/>
    <w:rsid w:val="00B06C31"/>
    <w:rsid w:val="00B13851"/>
    <w:rsid w:val="00B13997"/>
    <w:rsid w:val="00B20614"/>
    <w:rsid w:val="00B20E77"/>
    <w:rsid w:val="00B21C1A"/>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7545"/>
    <w:rsid w:val="00B50126"/>
    <w:rsid w:val="00B50B4C"/>
    <w:rsid w:val="00B51EC2"/>
    <w:rsid w:val="00B55A5E"/>
    <w:rsid w:val="00B55E47"/>
    <w:rsid w:val="00B5779E"/>
    <w:rsid w:val="00B57FD2"/>
    <w:rsid w:val="00B60EA9"/>
    <w:rsid w:val="00B62150"/>
    <w:rsid w:val="00B622A8"/>
    <w:rsid w:val="00B6487C"/>
    <w:rsid w:val="00B653F1"/>
    <w:rsid w:val="00B6769B"/>
    <w:rsid w:val="00B72EDC"/>
    <w:rsid w:val="00B7325D"/>
    <w:rsid w:val="00B804B2"/>
    <w:rsid w:val="00B830A0"/>
    <w:rsid w:val="00B86DEB"/>
    <w:rsid w:val="00BA7740"/>
    <w:rsid w:val="00BB0E5A"/>
    <w:rsid w:val="00BB1C7F"/>
    <w:rsid w:val="00BB2655"/>
    <w:rsid w:val="00BB395D"/>
    <w:rsid w:val="00BB5B99"/>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7BBA"/>
    <w:rsid w:val="00C72C52"/>
    <w:rsid w:val="00C74F6F"/>
    <w:rsid w:val="00C762CC"/>
    <w:rsid w:val="00C80FC8"/>
    <w:rsid w:val="00C83C9A"/>
    <w:rsid w:val="00C848D6"/>
    <w:rsid w:val="00C8608F"/>
    <w:rsid w:val="00C92B01"/>
    <w:rsid w:val="00C96CAA"/>
    <w:rsid w:val="00CB0080"/>
    <w:rsid w:val="00CB4A56"/>
    <w:rsid w:val="00CB5794"/>
    <w:rsid w:val="00CB7515"/>
    <w:rsid w:val="00CD624F"/>
    <w:rsid w:val="00CD7660"/>
    <w:rsid w:val="00CE0297"/>
    <w:rsid w:val="00CE4F25"/>
    <w:rsid w:val="00CE57BA"/>
    <w:rsid w:val="00CF072C"/>
    <w:rsid w:val="00CF1113"/>
    <w:rsid w:val="00CF45E6"/>
    <w:rsid w:val="00CF5AEA"/>
    <w:rsid w:val="00CF628D"/>
    <w:rsid w:val="00D00449"/>
    <w:rsid w:val="00D05108"/>
    <w:rsid w:val="00D05F84"/>
    <w:rsid w:val="00D061E0"/>
    <w:rsid w:val="00D078F5"/>
    <w:rsid w:val="00D12A6C"/>
    <w:rsid w:val="00D13D51"/>
    <w:rsid w:val="00D2261C"/>
    <w:rsid w:val="00D227F7"/>
    <w:rsid w:val="00D24831"/>
    <w:rsid w:val="00D25878"/>
    <w:rsid w:val="00D267C1"/>
    <w:rsid w:val="00D26C75"/>
    <w:rsid w:val="00D27261"/>
    <w:rsid w:val="00D30DFF"/>
    <w:rsid w:val="00D31C73"/>
    <w:rsid w:val="00D336FF"/>
    <w:rsid w:val="00D34A52"/>
    <w:rsid w:val="00D37DC2"/>
    <w:rsid w:val="00D4325C"/>
    <w:rsid w:val="00D43688"/>
    <w:rsid w:val="00D444D1"/>
    <w:rsid w:val="00D45115"/>
    <w:rsid w:val="00D451E5"/>
    <w:rsid w:val="00D458AE"/>
    <w:rsid w:val="00D45B69"/>
    <w:rsid w:val="00D45E45"/>
    <w:rsid w:val="00D460BC"/>
    <w:rsid w:val="00D52723"/>
    <w:rsid w:val="00D5278A"/>
    <w:rsid w:val="00D52A07"/>
    <w:rsid w:val="00D54BB0"/>
    <w:rsid w:val="00D566C6"/>
    <w:rsid w:val="00D56F98"/>
    <w:rsid w:val="00D57C25"/>
    <w:rsid w:val="00D617D2"/>
    <w:rsid w:val="00D63F2D"/>
    <w:rsid w:val="00D6444F"/>
    <w:rsid w:val="00D66106"/>
    <w:rsid w:val="00D66539"/>
    <w:rsid w:val="00D72AF8"/>
    <w:rsid w:val="00D76DF4"/>
    <w:rsid w:val="00D825EF"/>
    <w:rsid w:val="00D87D76"/>
    <w:rsid w:val="00D906F6"/>
    <w:rsid w:val="00D90B91"/>
    <w:rsid w:val="00D91ACA"/>
    <w:rsid w:val="00D9315E"/>
    <w:rsid w:val="00D93301"/>
    <w:rsid w:val="00D937FB"/>
    <w:rsid w:val="00D947E9"/>
    <w:rsid w:val="00D9490B"/>
    <w:rsid w:val="00D94A6F"/>
    <w:rsid w:val="00D962A7"/>
    <w:rsid w:val="00DA1DBF"/>
    <w:rsid w:val="00DA1DDD"/>
    <w:rsid w:val="00DA2C99"/>
    <w:rsid w:val="00DA30B8"/>
    <w:rsid w:val="00DA7836"/>
    <w:rsid w:val="00DB2CB6"/>
    <w:rsid w:val="00DB455B"/>
    <w:rsid w:val="00DB7605"/>
    <w:rsid w:val="00DB7D7D"/>
    <w:rsid w:val="00DC05F8"/>
    <w:rsid w:val="00DC1D8A"/>
    <w:rsid w:val="00DC786B"/>
    <w:rsid w:val="00DD2649"/>
    <w:rsid w:val="00DD4B33"/>
    <w:rsid w:val="00DD785C"/>
    <w:rsid w:val="00DD7C44"/>
    <w:rsid w:val="00DE26E1"/>
    <w:rsid w:val="00DE29F8"/>
    <w:rsid w:val="00DE303E"/>
    <w:rsid w:val="00DE58EC"/>
    <w:rsid w:val="00E06339"/>
    <w:rsid w:val="00E107BB"/>
    <w:rsid w:val="00E13324"/>
    <w:rsid w:val="00E16BC6"/>
    <w:rsid w:val="00E20740"/>
    <w:rsid w:val="00E20BE9"/>
    <w:rsid w:val="00E21F42"/>
    <w:rsid w:val="00E22102"/>
    <w:rsid w:val="00E26B9D"/>
    <w:rsid w:val="00E27887"/>
    <w:rsid w:val="00E3103F"/>
    <w:rsid w:val="00E31E4A"/>
    <w:rsid w:val="00E3255F"/>
    <w:rsid w:val="00E34635"/>
    <w:rsid w:val="00E37840"/>
    <w:rsid w:val="00E40B35"/>
    <w:rsid w:val="00E455B3"/>
    <w:rsid w:val="00E51449"/>
    <w:rsid w:val="00E5240F"/>
    <w:rsid w:val="00E652E1"/>
    <w:rsid w:val="00E65B83"/>
    <w:rsid w:val="00E6632F"/>
    <w:rsid w:val="00E665FF"/>
    <w:rsid w:val="00E66A99"/>
    <w:rsid w:val="00E67340"/>
    <w:rsid w:val="00E6761A"/>
    <w:rsid w:val="00E67714"/>
    <w:rsid w:val="00E74EB7"/>
    <w:rsid w:val="00E76EF4"/>
    <w:rsid w:val="00E7754E"/>
    <w:rsid w:val="00E84EDA"/>
    <w:rsid w:val="00E85A8F"/>
    <w:rsid w:val="00E9560F"/>
    <w:rsid w:val="00EA22D3"/>
    <w:rsid w:val="00EB0AFA"/>
    <w:rsid w:val="00EB18C1"/>
    <w:rsid w:val="00EB3707"/>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44A6"/>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85C7C"/>
    <w:rsid w:val="00F87CCC"/>
    <w:rsid w:val="00F923D7"/>
    <w:rsid w:val="00F93D26"/>
    <w:rsid w:val="00F9442C"/>
    <w:rsid w:val="00F94F6A"/>
    <w:rsid w:val="00F960EE"/>
    <w:rsid w:val="00FA1BE4"/>
    <w:rsid w:val="00FA2520"/>
    <w:rsid w:val="00FA691E"/>
    <w:rsid w:val="00FB25EC"/>
    <w:rsid w:val="00FB49E7"/>
    <w:rsid w:val="00FB52E8"/>
    <w:rsid w:val="00FC5734"/>
    <w:rsid w:val="00FC5F5C"/>
    <w:rsid w:val="00FC6BE8"/>
    <w:rsid w:val="00FD0222"/>
    <w:rsid w:val="00FD1B7F"/>
    <w:rsid w:val="00FD2851"/>
    <w:rsid w:val="00FE1801"/>
    <w:rsid w:val="00FE3346"/>
    <w:rsid w:val="00FE78BA"/>
    <w:rsid w:val="00FF562A"/>
    <w:rsid w:val="00FF5C7B"/>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B81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Heading3Char">
    <w:name w:val="Heading 3 Char"/>
    <w:link w:val="Heading3"/>
    <w:rsid w:val="00DC1D8A"/>
    <w:rPr>
      <w:rFonts w:eastAsia="Times New Roman"/>
      <w:b/>
      <w:bCs/>
      <w:sz w:val="22"/>
      <w:szCs w:val="24"/>
    </w:rPr>
  </w:style>
  <w:style w:type="character" w:customStyle="1" w:styleId="a-size-base">
    <w:name w:val="a-size-base"/>
    <w:rsid w:val="00DC1D8A"/>
  </w:style>
  <w:style w:type="character" w:customStyle="1" w:styleId="Heading2Char">
    <w:name w:val="Heading 2 Char"/>
    <w:link w:val="Heading2"/>
    <w:rsid w:val="00DC1D8A"/>
    <w:rPr>
      <w:rFonts w:eastAsia="Times New Roman"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257327719">
      <w:bodyDiv w:val="1"/>
      <w:marLeft w:val="0"/>
      <w:marRight w:val="0"/>
      <w:marTop w:val="0"/>
      <w:marBottom w:val="0"/>
      <w:divBdr>
        <w:top w:val="none" w:sz="0" w:space="0" w:color="auto"/>
        <w:left w:val="none" w:sz="0" w:space="0" w:color="auto"/>
        <w:bottom w:val="none" w:sz="0" w:space="0" w:color="auto"/>
        <w:right w:val="none" w:sz="0" w:space="0" w:color="auto"/>
      </w:divBdr>
    </w:div>
    <w:div w:id="146075700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873306011">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digitalcommons.unl.edu/cgi/viewcontent.cgi?article=1020&amp;context=et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747/01/" TargetMode="External"/><Relationship Id="rId5" Type="http://schemas.openxmlformats.org/officeDocument/2006/relationships/webSettings" Target="webSettings.xml"/><Relationship Id="rId15" Type="http://schemas.openxmlformats.org/officeDocument/2006/relationships/hyperlink" Target="https://genius.com/Anne-bradstreet-flesh-and-the-spirit-the-annotated" TargetMode="External"/><Relationship Id="rId10" Type="http://schemas.openxmlformats.org/officeDocument/2006/relationships/hyperlink" Target="https://owl.english.purdue.edu/owl/resource/747/01/" TargetMode="External"/><Relationship Id="rId4" Type="http://schemas.openxmlformats.org/officeDocument/2006/relationships/settings" Target="settings.xml"/><Relationship Id="rId9" Type="http://schemas.openxmlformats.org/officeDocument/2006/relationships/hyperlink" Target="http://my.sjsu.edu" TargetMode="External"/><Relationship Id="rId14" Type="http://schemas.openxmlformats.org/officeDocument/2006/relationships/hyperlink" Target="https://www.poetryfoundation.org/poems/43703/in-honour-of-that-high-and-mighty-princess-queen-elizabe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rienne/Library/Group%20Containers/UBF8T346G9.Office/User%20Content.localized/Templates.localized/accessible_syllabu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20E6-512F-DA42-A35C-872349F7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accessible_syllabus_template.dotx</Template>
  <TotalTime>95</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14822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Adrienne Eastwood</dc:creator>
  <cp:keywords/>
  <cp:lastModifiedBy>Adrienne Eastwood</cp:lastModifiedBy>
  <cp:revision>10</cp:revision>
  <cp:lastPrinted>2019-01-28T20:04:00Z</cp:lastPrinted>
  <dcterms:created xsi:type="dcterms:W3CDTF">2019-05-02T18:19:00Z</dcterms:created>
  <dcterms:modified xsi:type="dcterms:W3CDTF">2019-05-31T20:43:00Z</dcterms:modified>
</cp:coreProperties>
</file>