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EB200" w14:textId="4BCE330E" w:rsidR="00B416F5" w:rsidRPr="00F358F1" w:rsidRDefault="001F6136" w:rsidP="001C1AD8">
      <w:pPr>
        <w:pBdr>
          <w:bottom w:val="single" w:sz="12" w:space="6" w:color="auto"/>
        </w:pBdr>
        <w:spacing w:line="240" w:lineRule="auto"/>
        <w:jc w:val="center"/>
        <w:rPr>
          <w:rFonts w:cs="Arial"/>
          <w:b/>
          <w:sz w:val="36"/>
          <w:szCs w:val="36"/>
        </w:rPr>
      </w:pPr>
      <w:r w:rsidRPr="00F358F1">
        <w:rPr>
          <w:rFonts w:cs="Arial"/>
          <w:b/>
          <w:sz w:val="36"/>
          <w:szCs w:val="36"/>
          <w:u w:val="single"/>
        </w:rPr>
        <w:t>Acutely Toxic Solids and Liquids</w:t>
      </w:r>
    </w:p>
    <w:p w14:paraId="089FA76F" w14:textId="77777777" w:rsidR="00D04840" w:rsidRPr="00F358F1" w:rsidRDefault="00D557AB" w:rsidP="001C1AD8">
      <w:pPr>
        <w:pBdr>
          <w:bottom w:val="single" w:sz="12" w:space="6" w:color="auto"/>
        </w:pBdr>
        <w:spacing w:line="240" w:lineRule="auto"/>
        <w:jc w:val="center"/>
        <w:rPr>
          <w:rFonts w:cs="Arial"/>
          <w:b/>
          <w:sz w:val="28"/>
          <w:szCs w:val="28"/>
        </w:rPr>
      </w:pPr>
      <w:r w:rsidRPr="00F358F1">
        <w:rPr>
          <w:rFonts w:cs="Arial"/>
          <w:b/>
          <w:sz w:val="28"/>
          <w:szCs w:val="28"/>
        </w:rPr>
        <w:t>STANDARD OPERATING PROCEDURE</w:t>
      </w:r>
      <w:r w:rsidR="00787D16" w:rsidRPr="00F358F1">
        <w:rPr>
          <w:rFonts w:cs="Arial"/>
          <w:b/>
          <w:sz w:val="28"/>
          <w:szCs w:val="28"/>
        </w:rPr>
        <w:t xml:space="preserve"> (SOP)</w:t>
      </w:r>
    </w:p>
    <w:p w14:paraId="6FE70358" w14:textId="77777777" w:rsidR="00304144" w:rsidRPr="005D0E52" w:rsidRDefault="00A60FE7" w:rsidP="001C1AD8">
      <w:pPr>
        <w:pBdr>
          <w:bottom w:val="single" w:sz="12" w:space="6" w:color="auto"/>
        </w:pBdr>
        <w:spacing w:line="240" w:lineRule="auto"/>
        <w:jc w:val="center"/>
        <w:rPr>
          <w:rFonts w:cs="Arial"/>
          <w:sz w:val="24"/>
          <w:szCs w:val="24"/>
        </w:rPr>
      </w:pPr>
      <w:r w:rsidRPr="005D0E52">
        <w:rPr>
          <w:rFonts w:cs="Arial"/>
          <w:b/>
          <w:sz w:val="24"/>
          <w:szCs w:val="24"/>
        </w:rPr>
        <w:t>Type of SOP:</w:t>
      </w:r>
      <w:r w:rsidR="00D04840" w:rsidRPr="005D0E52">
        <w:rPr>
          <w:rFonts w:cs="Arial"/>
          <w:sz w:val="24"/>
          <w:szCs w:val="24"/>
        </w:rPr>
        <w:t xml:space="preserve">     </w:t>
      </w:r>
      <w:r w:rsidR="005D0E52" w:rsidRPr="005D0E52">
        <w:rPr>
          <w:rFonts w:cs="Arial"/>
          <w:sz w:val="24"/>
          <w:szCs w:val="24"/>
        </w:rPr>
        <w:t xml:space="preserve">    </w:t>
      </w:r>
      <w:r w:rsidR="00FF3583">
        <w:rPr>
          <w:rFonts w:ascii="MS Gothic" w:eastAsia="MS Gothic" w:hAnsi="MS Gothic" w:cs="Arial" w:hint="eastAsia"/>
          <w:sz w:val="24"/>
          <w:szCs w:val="24"/>
        </w:rPr>
        <w:t>☐</w:t>
      </w:r>
      <w:r w:rsidR="005D0E52" w:rsidRPr="005D0E52">
        <w:rPr>
          <w:rFonts w:cs="Arial"/>
          <w:sz w:val="24"/>
          <w:szCs w:val="24"/>
        </w:rPr>
        <w:t xml:space="preserve"> </w:t>
      </w:r>
      <w:r w:rsidRPr="005D0E52">
        <w:rPr>
          <w:rFonts w:cs="Arial"/>
          <w:sz w:val="24"/>
          <w:szCs w:val="24"/>
        </w:rPr>
        <w:t xml:space="preserve">Process          </w:t>
      </w:r>
      <w:r w:rsidR="00FF3583">
        <w:rPr>
          <w:rFonts w:ascii="MS Gothic" w:eastAsia="MS Gothic" w:hAnsi="MS Gothic" w:cs="Arial" w:hint="eastAsia"/>
          <w:sz w:val="24"/>
          <w:szCs w:val="24"/>
        </w:rPr>
        <w:t>☐</w:t>
      </w:r>
      <w:r w:rsidR="00D04840" w:rsidRPr="005D0E52">
        <w:rPr>
          <w:rFonts w:eastAsia="MS Gothic" w:cs="Arial"/>
          <w:sz w:val="24"/>
          <w:szCs w:val="24"/>
        </w:rPr>
        <w:t xml:space="preserve"> </w:t>
      </w:r>
      <w:r w:rsidR="00D04840" w:rsidRPr="005D0E52">
        <w:rPr>
          <w:rFonts w:cs="Arial"/>
          <w:sz w:val="24"/>
          <w:szCs w:val="24"/>
        </w:rPr>
        <w:t xml:space="preserve">Hazardous Chemical          </w:t>
      </w:r>
      <w:r w:rsidR="00FF3583">
        <w:rPr>
          <w:rFonts w:ascii="MS Gothic" w:eastAsia="MS Gothic" w:hAnsi="MS Gothic" w:cs="Arial" w:hint="eastAsia"/>
          <w:sz w:val="24"/>
          <w:szCs w:val="24"/>
        </w:rPr>
        <w:t>☒</w:t>
      </w:r>
      <w:r w:rsidR="00D04840" w:rsidRPr="005D0E52">
        <w:rPr>
          <w:rFonts w:eastAsia="MS Gothic" w:cs="Arial"/>
          <w:sz w:val="24"/>
          <w:szCs w:val="24"/>
        </w:rPr>
        <w:t xml:space="preserve"> </w:t>
      </w:r>
      <w:r w:rsidRPr="005D0E52">
        <w:rPr>
          <w:rFonts w:cs="Arial"/>
          <w:sz w:val="24"/>
          <w:szCs w:val="24"/>
        </w:rPr>
        <w:t>Hazardous Class</w:t>
      </w:r>
    </w:p>
    <w:p w14:paraId="3F13BB19" w14:textId="3F4A884F" w:rsidR="00306131" w:rsidRPr="00584529" w:rsidRDefault="00306131" w:rsidP="00306131">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Note that not all hazardous chemicals are appropriately addressed in a single </w:t>
      </w:r>
      <w:r>
        <w:rPr>
          <w:rFonts w:cs="Arial"/>
          <w:b/>
        </w:rPr>
        <w:t>Hazard Class</w:t>
      </w:r>
      <w:r w:rsidRPr="00144D5D">
        <w:rPr>
          <w:rFonts w:cs="Arial"/>
          <w:b/>
        </w:rPr>
        <w:t xml:space="preserve"> SOP, and some chemicals are subject to several </w:t>
      </w:r>
      <w:r>
        <w:rPr>
          <w:rFonts w:cs="Arial"/>
          <w:b/>
        </w:rPr>
        <w:t>Hazard Class</w:t>
      </w:r>
      <w:r w:rsidRPr="00144D5D">
        <w:rPr>
          <w:rFonts w:cs="Arial"/>
          <w:b/>
        </w:rPr>
        <w:t xml:space="preserve"> SOPs. </w:t>
      </w:r>
      <w:r w:rsidRPr="001B45F8">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6652D6" w:rsidRPr="00306131" w14:paraId="0B501904" w14:textId="77777777" w:rsidTr="006652D6">
        <w:trPr>
          <w:gridAfter w:val="1"/>
          <w:wAfter w:w="72" w:type="dxa"/>
          <w:trHeight w:val="368"/>
        </w:trPr>
        <w:tc>
          <w:tcPr>
            <w:tcW w:w="2358" w:type="dxa"/>
            <w:gridSpan w:val="2"/>
            <w:tcBorders>
              <w:top w:val="nil"/>
              <w:left w:val="nil"/>
              <w:bottom w:val="nil"/>
              <w:right w:val="nil"/>
            </w:tcBorders>
            <w:vAlign w:val="bottom"/>
          </w:tcPr>
          <w:p w14:paraId="7D18971C" w14:textId="482A14CA" w:rsidR="006652D6" w:rsidRPr="00306131" w:rsidRDefault="006652D6" w:rsidP="000F63D1">
            <w:pPr>
              <w:pStyle w:val="Footer"/>
              <w:spacing w:before="120"/>
              <w:rPr>
                <w:rFonts w:ascii="Calibri" w:hAnsi="Calibri" w:cs="Arial"/>
                <w:sz w:val="22"/>
                <w:szCs w:val="22"/>
                <w:lang w:val="en-US"/>
              </w:rPr>
            </w:pPr>
            <w:r w:rsidRPr="00306131">
              <w:rPr>
                <w:rFonts w:ascii="Calibri" w:hAnsi="Calibri" w:cs="Arial"/>
                <w:sz w:val="22"/>
                <w:szCs w:val="22"/>
                <w:lang w:val="en-US"/>
              </w:rPr>
              <w:t xml:space="preserve">Date SOP Written: </w:t>
            </w:r>
          </w:p>
        </w:tc>
        <w:tc>
          <w:tcPr>
            <w:tcW w:w="2603" w:type="dxa"/>
            <w:gridSpan w:val="2"/>
            <w:tcBorders>
              <w:top w:val="nil"/>
              <w:left w:val="nil"/>
              <w:bottom w:val="single" w:sz="4" w:space="0" w:color="auto"/>
              <w:right w:val="nil"/>
            </w:tcBorders>
            <w:vAlign w:val="bottom"/>
          </w:tcPr>
          <w:p w14:paraId="336A0E80" w14:textId="252B19B2" w:rsidR="006652D6" w:rsidRPr="00306131" w:rsidRDefault="006652D6" w:rsidP="005B0E63">
            <w:pPr>
              <w:pStyle w:val="Footer"/>
              <w:spacing w:before="120"/>
              <w:rPr>
                <w:rFonts w:ascii="Calibri" w:hAnsi="Calibri"/>
                <w:b/>
                <w:sz w:val="22"/>
                <w:szCs w:val="22"/>
                <w:lang w:val="en-US"/>
              </w:rPr>
            </w:pPr>
          </w:p>
        </w:tc>
        <w:tc>
          <w:tcPr>
            <w:tcW w:w="277" w:type="dxa"/>
            <w:tcBorders>
              <w:top w:val="nil"/>
              <w:left w:val="nil"/>
              <w:bottom w:val="nil"/>
              <w:right w:val="nil"/>
            </w:tcBorders>
            <w:vAlign w:val="bottom"/>
          </w:tcPr>
          <w:p w14:paraId="06BB0BC3" w14:textId="77777777" w:rsidR="006652D6" w:rsidRPr="00306131" w:rsidRDefault="006652D6" w:rsidP="000F63D1">
            <w:pPr>
              <w:pStyle w:val="Footer"/>
              <w:spacing w:before="120"/>
              <w:ind w:left="162"/>
              <w:rPr>
                <w:rFonts w:ascii="Calibri" w:hAnsi="Calibri"/>
                <w:sz w:val="22"/>
                <w:szCs w:val="22"/>
                <w:lang w:val="en-US"/>
              </w:rPr>
            </w:pPr>
          </w:p>
        </w:tc>
        <w:tc>
          <w:tcPr>
            <w:tcW w:w="1896" w:type="dxa"/>
            <w:gridSpan w:val="3"/>
            <w:tcBorders>
              <w:top w:val="nil"/>
              <w:left w:val="nil"/>
              <w:bottom w:val="nil"/>
              <w:right w:val="nil"/>
            </w:tcBorders>
            <w:vAlign w:val="bottom"/>
          </w:tcPr>
          <w:p w14:paraId="50BEE159" w14:textId="5044BE9A" w:rsidR="006652D6" w:rsidRPr="00306131" w:rsidRDefault="006652D6" w:rsidP="000F63D1">
            <w:pPr>
              <w:pStyle w:val="Footer"/>
              <w:spacing w:before="120"/>
              <w:ind w:left="162"/>
              <w:rPr>
                <w:rFonts w:ascii="Calibri" w:hAnsi="Calibri"/>
                <w:sz w:val="22"/>
                <w:szCs w:val="22"/>
                <w:lang w:val="en-US"/>
              </w:rPr>
            </w:pPr>
            <w:r w:rsidRPr="00306131">
              <w:rPr>
                <w:rFonts w:ascii="Calibri" w:hAnsi="Calibri"/>
                <w:sz w:val="22"/>
                <w:szCs w:val="22"/>
                <w:lang w:val="en-US"/>
              </w:rPr>
              <w:t>Approval Date:</w:t>
            </w:r>
          </w:p>
        </w:tc>
        <w:tc>
          <w:tcPr>
            <w:tcW w:w="2530" w:type="dxa"/>
            <w:tcBorders>
              <w:top w:val="nil"/>
              <w:left w:val="nil"/>
              <w:bottom w:val="single" w:sz="4" w:space="0" w:color="auto"/>
              <w:right w:val="nil"/>
            </w:tcBorders>
            <w:vAlign w:val="bottom"/>
          </w:tcPr>
          <w:p w14:paraId="45D8054C" w14:textId="7F9AD42C" w:rsidR="006652D6" w:rsidRPr="00306131" w:rsidRDefault="006652D6" w:rsidP="000F63D1">
            <w:pPr>
              <w:pStyle w:val="Footer"/>
              <w:spacing w:before="120"/>
              <w:rPr>
                <w:rFonts w:ascii="Calibri" w:hAnsi="Calibri"/>
                <w:b/>
                <w:sz w:val="22"/>
                <w:szCs w:val="22"/>
                <w:lang w:val="en-US"/>
              </w:rPr>
            </w:pPr>
          </w:p>
        </w:tc>
      </w:tr>
      <w:tr w:rsidR="00306131" w:rsidRPr="00306131" w14:paraId="37D88870" w14:textId="77777777" w:rsidTr="000F63D1">
        <w:trPr>
          <w:gridAfter w:val="1"/>
          <w:wAfter w:w="72" w:type="dxa"/>
          <w:trHeight w:val="218"/>
        </w:trPr>
        <w:tc>
          <w:tcPr>
            <w:tcW w:w="2358" w:type="dxa"/>
            <w:gridSpan w:val="2"/>
            <w:tcBorders>
              <w:top w:val="nil"/>
              <w:left w:val="nil"/>
              <w:bottom w:val="nil"/>
              <w:right w:val="nil"/>
            </w:tcBorders>
            <w:vAlign w:val="center"/>
          </w:tcPr>
          <w:p w14:paraId="1ADC7138" w14:textId="5C175A71" w:rsidR="006652D6" w:rsidRPr="00306131" w:rsidRDefault="006652D6" w:rsidP="000F63D1">
            <w:pPr>
              <w:spacing w:before="120" w:after="0" w:line="240" w:lineRule="auto"/>
              <w:rPr>
                <w:rFonts w:eastAsia="Times New Roman"/>
              </w:rPr>
            </w:pPr>
            <w:r w:rsidRPr="00306131">
              <w:rPr>
                <w:rFonts w:eastAsia="Times New Roman"/>
              </w:rPr>
              <w:t>SOP Prepared by:</w:t>
            </w:r>
          </w:p>
        </w:tc>
        <w:tc>
          <w:tcPr>
            <w:tcW w:w="7306" w:type="dxa"/>
            <w:gridSpan w:val="7"/>
            <w:tcBorders>
              <w:top w:val="nil"/>
              <w:left w:val="nil"/>
              <w:bottom w:val="single" w:sz="4" w:space="0" w:color="auto"/>
              <w:right w:val="nil"/>
            </w:tcBorders>
            <w:vAlign w:val="bottom"/>
          </w:tcPr>
          <w:p w14:paraId="15F01EC1" w14:textId="77777777" w:rsidR="006652D6" w:rsidRPr="00306131" w:rsidRDefault="006652D6" w:rsidP="000F63D1">
            <w:pPr>
              <w:spacing w:before="120" w:after="0" w:line="240" w:lineRule="auto"/>
              <w:rPr>
                <w:rFonts w:eastAsia="Times New Roman"/>
                <w:b/>
              </w:rPr>
            </w:pPr>
            <w:r w:rsidRPr="00306131">
              <w:rPr>
                <w:b/>
              </w:rPr>
              <w:fldChar w:fldCharType="begin">
                <w:ffData>
                  <w:name w:val=""/>
                  <w:enabled/>
                  <w:calcOnExit w:val="0"/>
                  <w:textInput>
                    <w:default w:val="REQUIRED - Insert Preparer's Nam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Preparer's Name</w:t>
            </w:r>
            <w:r w:rsidRPr="00306131">
              <w:rPr>
                <w:b/>
              </w:rPr>
              <w:fldChar w:fldCharType="end"/>
            </w:r>
          </w:p>
        </w:tc>
      </w:tr>
      <w:tr w:rsidR="006652D6" w:rsidRPr="00306131" w14:paraId="0D0A49DD" w14:textId="77777777" w:rsidTr="000F63D1">
        <w:trPr>
          <w:gridAfter w:val="1"/>
          <w:wAfter w:w="72" w:type="dxa"/>
        </w:trPr>
        <w:tc>
          <w:tcPr>
            <w:tcW w:w="4961" w:type="dxa"/>
            <w:gridSpan w:val="4"/>
            <w:tcBorders>
              <w:top w:val="nil"/>
              <w:left w:val="nil"/>
              <w:bottom w:val="nil"/>
              <w:right w:val="nil"/>
            </w:tcBorders>
            <w:vAlign w:val="bottom"/>
          </w:tcPr>
          <w:p w14:paraId="781917FE" w14:textId="6299208A" w:rsidR="006652D6" w:rsidRPr="00306131" w:rsidRDefault="006652D6" w:rsidP="000F63D1">
            <w:pPr>
              <w:spacing w:before="120" w:after="0" w:line="240" w:lineRule="auto"/>
              <w:rPr>
                <w:rFonts w:eastAsia="Times New Roman"/>
              </w:rPr>
            </w:pPr>
            <w:r w:rsidRPr="00306131">
              <w:rPr>
                <w:rFonts w:eastAsia="Times New Roman"/>
              </w:rPr>
              <w:t>SOP Reviewed and Approved by (name/signature):</w:t>
            </w:r>
          </w:p>
        </w:tc>
        <w:tc>
          <w:tcPr>
            <w:tcW w:w="4703" w:type="dxa"/>
            <w:gridSpan w:val="5"/>
            <w:tcBorders>
              <w:top w:val="single" w:sz="4" w:space="0" w:color="auto"/>
              <w:left w:val="nil"/>
              <w:bottom w:val="single" w:sz="4" w:space="0" w:color="auto"/>
              <w:right w:val="nil"/>
            </w:tcBorders>
            <w:vAlign w:val="bottom"/>
          </w:tcPr>
          <w:p w14:paraId="75BA743D" w14:textId="77777777" w:rsidR="006652D6" w:rsidRPr="00306131" w:rsidRDefault="006652D6" w:rsidP="000F63D1">
            <w:pPr>
              <w:spacing w:before="120" w:after="0" w:line="240" w:lineRule="auto"/>
              <w:rPr>
                <w:rFonts w:eastAsia="Times New Roman"/>
                <w:b/>
              </w:rPr>
            </w:pPr>
            <w:r w:rsidRPr="00306131">
              <w:rPr>
                <w:b/>
              </w:rPr>
              <w:fldChar w:fldCharType="begin">
                <w:ffData>
                  <w:name w:val=""/>
                  <w:enabled/>
                  <w:calcOnExit w:val="0"/>
                  <w:textInput>
                    <w:default w:val="REQUIRED - Insert Approver's Name &amp; Signatur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Approver's Name &amp; Signature</w:t>
            </w:r>
            <w:r w:rsidRPr="00306131">
              <w:rPr>
                <w:b/>
              </w:rPr>
              <w:fldChar w:fldCharType="end"/>
            </w:r>
          </w:p>
        </w:tc>
      </w:tr>
      <w:tr w:rsidR="006652D6" w:rsidRPr="00306131" w14:paraId="50CCFB5D" w14:textId="77777777" w:rsidTr="000F63D1">
        <w:trPr>
          <w:gridAfter w:val="4"/>
          <w:wAfter w:w="3422" w:type="dxa"/>
          <w:trHeight w:val="170"/>
        </w:trPr>
        <w:tc>
          <w:tcPr>
            <w:tcW w:w="2358" w:type="dxa"/>
            <w:gridSpan w:val="2"/>
            <w:tcBorders>
              <w:top w:val="nil"/>
              <w:left w:val="nil"/>
              <w:bottom w:val="nil"/>
              <w:right w:val="nil"/>
            </w:tcBorders>
            <w:vAlign w:val="bottom"/>
          </w:tcPr>
          <w:p w14:paraId="5EC066F2" w14:textId="483F6FBE" w:rsidR="006652D6" w:rsidRPr="00306131" w:rsidRDefault="006652D6" w:rsidP="000F63D1">
            <w:pPr>
              <w:pStyle w:val="Footer"/>
              <w:spacing w:before="120"/>
              <w:rPr>
                <w:rFonts w:ascii="Calibri" w:hAnsi="Calibri" w:cs="Arial"/>
                <w:sz w:val="22"/>
                <w:szCs w:val="22"/>
              </w:rPr>
            </w:pPr>
            <w:r w:rsidRPr="00306131">
              <w:rPr>
                <w:rFonts w:ascii="Calibri" w:hAnsi="Calibri"/>
                <w:sz w:val="22"/>
                <w:szCs w:val="22"/>
              </w:rPr>
              <w:t xml:space="preserve">Department: </w:t>
            </w:r>
          </w:p>
        </w:tc>
        <w:tc>
          <w:tcPr>
            <w:tcW w:w="3956" w:type="dxa"/>
            <w:gridSpan w:val="4"/>
            <w:tcBorders>
              <w:top w:val="nil"/>
              <w:left w:val="nil"/>
              <w:bottom w:val="single" w:sz="4" w:space="0" w:color="auto"/>
              <w:right w:val="nil"/>
            </w:tcBorders>
            <w:vAlign w:val="bottom"/>
          </w:tcPr>
          <w:p w14:paraId="163A2C95"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default w:val="REQUIRED - Insert Department"/>
                  </w:textInput>
                </w:ffData>
              </w:fldChar>
            </w:r>
            <w:r w:rsidRPr="00306131">
              <w:rPr>
                <w:rFonts w:ascii="Calibri" w:hAnsi="Calibri"/>
                <w:b/>
                <w:sz w:val="22"/>
                <w:szCs w:val="22"/>
              </w:rPr>
              <w:instrText xml:space="preserve"> </w:instrText>
            </w:r>
            <w:bookmarkStart w:id="0" w:name="Text58"/>
            <w:r w:rsidRPr="00306131">
              <w:rPr>
                <w:rFonts w:ascii="Calibri" w:hAnsi="Calibri"/>
                <w:b/>
                <w:sz w:val="22"/>
                <w:szCs w:val="22"/>
              </w:rPr>
              <w:instrText xml:space="preserve">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REQUIRED - Insert Department</w:t>
            </w:r>
            <w:r w:rsidRPr="00306131">
              <w:rPr>
                <w:rFonts w:ascii="Calibri" w:hAnsi="Calibri"/>
                <w:b/>
                <w:sz w:val="22"/>
                <w:szCs w:val="22"/>
              </w:rPr>
              <w:fldChar w:fldCharType="end"/>
            </w:r>
            <w:bookmarkEnd w:id="0"/>
          </w:p>
        </w:tc>
      </w:tr>
      <w:tr w:rsidR="00306131" w:rsidRPr="00306131" w14:paraId="6C3D1F88" w14:textId="77777777" w:rsidTr="000F63D1">
        <w:trPr>
          <w:trHeight w:val="77"/>
        </w:trPr>
        <w:tc>
          <w:tcPr>
            <w:tcW w:w="2358" w:type="dxa"/>
            <w:gridSpan w:val="2"/>
            <w:tcBorders>
              <w:top w:val="nil"/>
              <w:left w:val="nil"/>
              <w:bottom w:val="nil"/>
              <w:right w:val="nil"/>
            </w:tcBorders>
          </w:tcPr>
          <w:p w14:paraId="62D3F134" w14:textId="4DBEBEDB" w:rsidR="006652D6" w:rsidRPr="00306131" w:rsidRDefault="006652D6" w:rsidP="000F63D1">
            <w:pPr>
              <w:spacing w:before="120" w:after="0" w:line="240" w:lineRule="auto"/>
              <w:rPr>
                <w:rFonts w:cs="Arial"/>
              </w:rPr>
            </w:pPr>
            <w:r w:rsidRPr="00306131">
              <w:t>Principal Investigator/</w:t>
            </w:r>
            <w:r w:rsidRPr="00306131">
              <w:br/>
              <w:t xml:space="preserve">Laboratory Supervisor: </w:t>
            </w:r>
          </w:p>
        </w:tc>
        <w:tc>
          <w:tcPr>
            <w:tcW w:w="3956" w:type="dxa"/>
            <w:gridSpan w:val="4"/>
            <w:tcBorders>
              <w:top w:val="single" w:sz="4" w:space="0" w:color="auto"/>
              <w:left w:val="nil"/>
              <w:bottom w:val="single" w:sz="4" w:space="0" w:color="auto"/>
              <w:right w:val="nil"/>
            </w:tcBorders>
            <w:vAlign w:val="bottom"/>
          </w:tcPr>
          <w:p w14:paraId="77D95099" w14:textId="77777777" w:rsidR="006652D6" w:rsidRPr="00306131" w:rsidRDefault="006652D6" w:rsidP="000F63D1">
            <w:pPr>
              <w:spacing w:before="120" w:after="0" w:line="240" w:lineRule="auto"/>
              <w:rPr>
                <w:b/>
              </w:rPr>
            </w:pPr>
            <w:r w:rsidRPr="00306131">
              <w:rPr>
                <w:b/>
              </w:rPr>
              <w:fldChar w:fldCharType="begin">
                <w:ffData>
                  <w:name w:val=""/>
                  <w:enabled/>
                  <w:calcOnExit w:val="0"/>
                  <w:textInput>
                    <w:default w:val="REQUIRED - Insert Nam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Name</w:t>
            </w:r>
            <w:r w:rsidRPr="00306131">
              <w:rPr>
                <w:b/>
              </w:rPr>
              <w:fldChar w:fldCharType="end"/>
            </w:r>
          </w:p>
        </w:tc>
        <w:tc>
          <w:tcPr>
            <w:tcW w:w="810" w:type="dxa"/>
            <w:tcBorders>
              <w:top w:val="nil"/>
              <w:left w:val="nil"/>
              <w:bottom w:val="nil"/>
              <w:right w:val="nil"/>
            </w:tcBorders>
            <w:vAlign w:val="bottom"/>
          </w:tcPr>
          <w:p w14:paraId="66F5EF52" w14:textId="0DEC4097" w:rsidR="006652D6" w:rsidRPr="00306131" w:rsidRDefault="006652D6" w:rsidP="000F63D1">
            <w:pPr>
              <w:spacing w:before="120" w:after="0" w:line="240" w:lineRule="auto"/>
              <w:ind w:right="-108"/>
              <w:jc w:val="right"/>
              <w:rPr>
                <w:rFonts w:cs="Arial"/>
              </w:rPr>
            </w:pPr>
            <w:r w:rsidRPr="00306131">
              <w:t xml:space="preserve">Phone: </w:t>
            </w:r>
          </w:p>
        </w:tc>
        <w:tc>
          <w:tcPr>
            <w:tcW w:w="2612" w:type="dxa"/>
            <w:gridSpan w:val="3"/>
            <w:tcBorders>
              <w:top w:val="nil"/>
              <w:left w:val="nil"/>
              <w:bottom w:val="single" w:sz="4" w:space="0" w:color="auto"/>
              <w:right w:val="nil"/>
            </w:tcBorders>
            <w:vAlign w:val="bottom"/>
          </w:tcPr>
          <w:p w14:paraId="03EB12CE" w14:textId="77777777" w:rsidR="006652D6" w:rsidRPr="00306131" w:rsidRDefault="006652D6" w:rsidP="000F63D1">
            <w:pPr>
              <w:spacing w:before="120" w:after="0" w:line="240" w:lineRule="auto"/>
              <w:rPr>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306131" w:rsidRPr="00306131" w14:paraId="3C205DB6" w14:textId="77777777" w:rsidTr="000F63D1">
        <w:trPr>
          <w:trHeight w:val="152"/>
        </w:trPr>
        <w:tc>
          <w:tcPr>
            <w:tcW w:w="2358" w:type="dxa"/>
            <w:gridSpan w:val="2"/>
            <w:tcBorders>
              <w:top w:val="nil"/>
              <w:left w:val="nil"/>
              <w:bottom w:val="nil"/>
              <w:right w:val="nil"/>
            </w:tcBorders>
          </w:tcPr>
          <w:p w14:paraId="10C53A46" w14:textId="021A7D8D" w:rsidR="006652D6" w:rsidRPr="00306131" w:rsidRDefault="006652D6" w:rsidP="000F63D1">
            <w:pPr>
              <w:pStyle w:val="Footer"/>
              <w:spacing w:before="120"/>
              <w:rPr>
                <w:rFonts w:ascii="Calibri" w:hAnsi="Calibri"/>
                <w:sz w:val="22"/>
                <w:szCs w:val="22"/>
              </w:rPr>
            </w:pPr>
            <w:r w:rsidRPr="00306131">
              <w:rPr>
                <w:rFonts w:ascii="Calibri" w:hAnsi="Calibri"/>
                <w:sz w:val="22"/>
                <w:szCs w:val="22"/>
              </w:rPr>
              <w:t>Emergency Contact(s)</w:t>
            </w:r>
            <w:r w:rsidRPr="00306131">
              <w:rPr>
                <w:rFonts w:ascii="Calibri" w:hAnsi="Calibri"/>
                <w:sz w:val="22"/>
                <w:szCs w:val="22"/>
                <w:lang w:val="en-US"/>
              </w:rPr>
              <w:t>:</w:t>
            </w:r>
            <w:r w:rsidRPr="00306131">
              <w:rPr>
                <w:rFonts w:ascii="Calibri" w:hAnsi="Calibri"/>
                <w:sz w:val="22"/>
                <w:szCs w:val="22"/>
              </w:rPr>
              <w:t xml:space="preserve"> </w:t>
            </w:r>
          </w:p>
        </w:tc>
        <w:tc>
          <w:tcPr>
            <w:tcW w:w="3956" w:type="dxa"/>
            <w:gridSpan w:val="4"/>
            <w:tcBorders>
              <w:top w:val="single" w:sz="4" w:space="0" w:color="auto"/>
              <w:left w:val="nil"/>
              <w:bottom w:val="single" w:sz="4" w:space="0" w:color="auto"/>
              <w:right w:val="nil"/>
            </w:tcBorders>
            <w:vAlign w:val="bottom"/>
          </w:tcPr>
          <w:p w14:paraId="795955EF"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lang w:val="en-US"/>
              </w:rPr>
              <w:fldChar w:fldCharType="begin">
                <w:ffData>
                  <w:name w:val=""/>
                  <w:enabled/>
                  <w:calcOnExit w:val="0"/>
                  <w:textInput>
                    <w:default w:val="REQUIRED - Insert Name"/>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lang w:val="en-US"/>
              </w:rPr>
            </w:r>
            <w:r w:rsidRPr="00306131">
              <w:rPr>
                <w:rFonts w:ascii="Calibri" w:hAnsi="Calibri"/>
                <w:b/>
                <w:sz w:val="22"/>
                <w:szCs w:val="22"/>
                <w:lang w:val="en-US"/>
              </w:rPr>
              <w:fldChar w:fldCharType="separate"/>
            </w:r>
            <w:r w:rsidRPr="00306131">
              <w:rPr>
                <w:rFonts w:ascii="Calibri" w:hAnsi="Calibri"/>
                <w:b/>
                <w:sz w:val="22"/>
                <w:szCs w:val="22"/>
                <w:lang w:val="en-US"/>
              </w:rPr>
              <w:t>REQUIRED - Insert Name</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7342AF1A" w14:textId="4012934F" w:rsidR="006652D6" w:rsidRPr="00306131" w:rsidRDefault="006652D6" w:rsidP="000F63D1">
            <w:pPr>
              <w:spacing w:before="120" w:after="0" w:line="240" w:lineRule="auto"/>
              <w:ind w:right="-108"/>
              <w:jc w:val="right"/>
              <w:rPr>
                <w:rFonts w:cs="Arial"/>
              </w:rPr>
            </w:pPr>
            <w:r w:rsidRPr="00306131">
              <w:t xml:space="preserve">Phone: </w:t>
            </w:r>
          </w:p>
        </w:tc>
        <w:tc>
          <w:tcPr>
            <w:tcW w:w="2612" w:type="dxa"/>
            <w:gridSpan w:val="3"/>
            <w:tcBorders>
              <w:top w:val="single" w:sz="4" w:space="0" w:color="auto"/>
              <w:left w:val="nil"/>
              <w:bottom w:val="single" w:sz="4" w:space="0" w:color="auto"/>
              <w:right w:val="nil"/>
            </w:tcBorders>
            <w:vAlign w:val="bottom"/>
          </w:tcPr>
          <w:p w14:paraId="60446D42" w14:textId="77777777" w:rsidR="006652D6" w:rsidRPr="00306131" w:rsidRDefault="006652D6" w:rsidP="000F63D1">
            <w:pPr>
              <w:spacing w:before="120" w:after="0" w:line="240" w:lineRule="auto"/>
              <w:rPr>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306131" w:rsidRPr="00306131" w14:paraId="5EDBDBE2" w14:textId="77777777" w:rsidTr="000F63D1">
        <w:trPr>
          <w:trHeight w:val="152"/>
        </w:trPr>
        <w:tc>
          <w:tcPr>
            <w:tcW w:w="2358" w:type="dxa"/>
            <w:gridSpan w:val="2"/>
            <w:tcBorders>
              <w:top w:val="nil"/>
              <w:left w:val="nil"/>
              <w:bottom w:val="nil"/>
              <w:right w:val="nil"/>
            </w:tcBorders>
          </w:tcPr>
          <w:p w14:paraId="40B7D5B3"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678E11E9"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50520856"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7616AC45"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4F1CF4DD" w14:textId="77777777" w:rsidTr="000F63D1">
        <w:trPr>
          <w:trHeight w:val="152"/>
        </w:trPr>
        <w:tc>
          <w:tcPr>
            <w:tcW w:w="2358" w:type="dxa"/>
            <w:gridSpan w:val="2"/>
            <w:tcBorders>
              <w:top w:val="nil"/>
              <w:left w:val="nil"/>
              <w:bottom w:val="nil"/>
              <w:right w:val="nil"/>
            </w:tcBorders>
          </w:tcPr>
          <w:p w14:paraId="338F6104"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1E89B038"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233A1F0D"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07C5ECE0"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161805CC" w14:textId="77777777" w:rsidTr="000F63D1">
        <w:trPr>
          <w:trHeight w:val="152"/>
        </w:trPr>
        <w:tc>
          <w:tcPr>
            <w:tcW w:w="2358" w:type="dxa"/>
            <w:gridSpan w:val="2"/>
            <w:tcBorders>
              <w:top w:val="nil"/>
              <w:left w:val="nil"/>
              <w:bottom w:val="nil"/>
              <w:right w:val="nil"/>
            </w:tcBorders>
          </w:tcPr>
          <w:p w14:paraId="24EA9190"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55DEFB88"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66646F6A"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36131BA3"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2EAFF145" w14:textId="77777777" w:rsidTr="000F63D1">
        <w:trPr>
          <w:trHeight w:val="152"/>
        </w:trPr>
        <w:tc>
          <w:tcPr>
            <w:tcW w:w="2358" w:type="dxa"/>
            <w:gridSpan w:val="2"/>
            <w:tcBorders>
              <w:top w:val="nil"/>
              <w:left w:val="nil"/>
              <w:bottom w:val="nil"/>
              <w:right w:val="nil"/>
            </w:tcBorders>
          </w:tcPr>
          <w:p w14:paraId="32A324D3" w14:textId="77777777" w:rsidR="006652D6" w:rsidRPr="00306131" w:rsidRDefault="006652D6" w:rsidP="000F63D1">
            <w:pPr>
              <w:pStyle w:val="Footer"/>
              <w:spacing w:before="120"/>
              <w:rPr>
                <w:rFonts w:ascii="Calibri" w:hAnsi="Calibri"/>
                <w:sz w:val="22"/>
                <w:szCs w:val="22"/>
              </w:rPr>
            </w:pPr>
          </w:p>
        </w:tc>
        <w:tc>
          <w:tcPr>
            <w:tcW w:w="3956" w:type="dxa"/>
            <w:gridSpan w:val="4"/>
            <w:tcBorders>
              <w:top w:val="single" w:sz="4" w:space="0" w:color="auto"/>
              <w:left w:val="nil"/>
              <w:bottom w:val="single" w:sz="4" w:space="0" w:color="auto"/>
              <w:right w:val="nil"/>
            </w:tcBorders>
            <w:vAlign w:val="bottom"/>
          </w:tcPr>
          <w:p w14:paraId="37C87198"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noProof/>
                <w:sz w:val="22"/>
                <w:szCs w:val="22"/>
                <w:lang w:val="en-US"/>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1FBA9DE0" w14:textId="77777777" w:rsidR="006652D6" w:rsidRPr="00306131" w:rsidRDefault="006652D6" w:rsidP="000F63D1">
            <w:pPr>
              <w:spacing w:before="120" w:after="0" w:line="240" w:lineRule="auto"/>
              <w:ind w:right="-108"/>
              <w:jc w:val="right"/>
            </w:pPr>
          </w:p>
        </w:tc>
        <w:tc>
          <w:tcPr>
            <w:tcW w:w="2612" w:type="dxa"/>
            <w:gridSpan w:val="3"/>
            <w:tcBorders>
              <w:top w:val="single" w:sz="4" w:space="0" w:color="auto"/>
              <w:left w:val="nil"/>
              <w:bottom w:val="single" w:sz="4" w:space="0" w:color="auto"/>
              <w:right w:val="nil"/>
            </w:tcBorders>
            <w:vAlign w:val="bottom"/>
          </w:tcPr>
          <w:p w14:paraId="5547630E" w14:textId="77777777" w:rsidR="006652D6" w:rsidRPr="00306131" w:rsidRDefault="006652D6" w:rsidP="000F63D1">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306131" w:rsidRPr="00306131" w14:paraId="2B23FF87" w14:textId="77777777" w:rsidTr="000F63D1">
        <w:trPr>
          <w:trHeight w:val="77"/>
        </w:trPr>
        <w:tc>
          <w:tcPr>
            <w:tcW w:w="1724" w:type="dxa"/>
            <w:vMerge w:val="restart"/>
            <w:tcBorders>
              <w:top w:val="nil"/>
              <w:left w:val="nil"/>
              <w:bottom w:val="nil"/>
              <w:right w:val="nil"/>
            </w:tcBorders>
          </w:tcPr>
          <w:p w14:paraId="2EC7AE19" w14:textId="253263AD" w:rsidR="006652D6" w:rsidRPr="00306131" w:rsidRDefault="006652D6" w:rsidP="000F63D1">
            <w:pPr>
              <w:spacing w:before="120" w:after="0"/>
            </w:pPr>
            <w:r w:rsidRPr="00306131">
              <w:t>Location(s) covered by SOP:</w:t>
            </w:r>
          </w:p>
        </w:tc>
        <w:tc>
          <w:tcPr>
            <w:tcW w:w="1441" w:type="dxa"/>
            <w:gridSpan w:val="2"/>
            <w:tcBorders>
              <w:top w:val="nil"/>
              <w:left w:val="nil"/>
              <w:bottom w:val="nil"/>
              <w:right w:val="nil"/>
            </w:tcBorders>
            <w:vAlign w:val="bottom"/>
          </w:tcPr>
          <w:p w14:paraId="3D6EBA3E" w14:textId="49A215C5" w:rsidR="006652D6" w:rsidRPr="00306131" w:rsidRDefault="006652D6" w:rsidP="000F63D1">
            <w:pPr>
              <w:pStyle w:val="Footer"/>
              <w:spacing w:before="120"/>
              <w:rPr>
                <w:rFonts w:ascii="Calibri" w:hAnsi="Calibri" w:cs="Arial"/>
                <w:sz w:val="22"/>
                <w:szCs w:val="22"/>
              </w:rPr>
            </w:pPr>
            <w:r w:rsidRPr="00306131">
              <w:rPr>
                <w:rFonts w:ascii="Calibri" w:hAnsi="Calibri"/>
                <w:sz w:val="22"/>
                <w:szCs w:val="22"/>
              </w:rPr>
              <w:t>Building:</w:t>
            </w:r>
          </w:p>
        </w:tc>
        <w:tc>
          <w:tcPr>
            <w:tcW w:w="3149" w:type="dxa"/>
            <w:gridSpan w:val="3"/>
            <w:tcBorders>
              <w:top w:val="nil"/>
              <w:left w:val="nil"/>
              <w:bottom w:val="single" w:sz="4" w:space="0" w:color="auto"/>
              <w:right w:val="nil"/>
            </w:tcBorders>
            <w:vAlign w:val="bottom"/>
          </w:tcPr>
          <w:p w14:paraId="5BEBA919"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lang w:val="en-US"/>
              </w:rPr>
              <w:fldChar w:fldCharType="begin">
                <w:ffData>
                  <w:name w:val=""/>
                  <w:enabled/>
                  <w:calcOnExit w:val="0"/>
                  <w:textInput>
                    <w:default w:val="REQUIRED - Insert Name"/>
                  </w:textInput>
                </w:ffData>
              </w:fldChar>
            </w:r>
            <w:r w:rsidRPr="00306131">
              <w:rPr>
                <w:rFonts w:ascii="Calibri" w:hAnsi="Calibri"/>
                <w:b/>
                <w:sz w:val="22"/>
                <w:szCs w:val="22"/>
                <w:lang w:val="en-US"/>
              </w:rPr>
              <w:instrText xml:space="preserve"> FORMTEXT </w:instrText>
            </w:r>
            <w:r w:rsidRPr="00306131">
              <w:rPr>
                <w:rFonts w:ascii="Calibri" w:hAnsi="Calibri"/>
                <w:b/>
                <w:sz w:val="22"/>
                <w:szCs w:val="22"/>
                <w:lang w:val="en-US"/>
              </w:rPr>
            </w:r>
            <w:r w:rsidRPr="00306131">
              <w:rPr>
                <w:rFonts w:ascii="Calibri" w:hAnsi="Calibri"/>
                <w:b/>
                <w:sz w:val="22"/>
                <w:szCs w:val="22"/>
                <w:lang w:val="en-US"/>
              </w:rPr>
              <w:fldChar w:fldCharType="separate"/>
            </w:r>
            <w:r w:rsidRPr="00306131">
              <w:rPr>
                <w:rFonts w:ascii="Calibri" w:hAnsi="Calibri"/>
                <w:b/>
                <w:sz w:val="22"/>
                <w:szCs w:val="22"/>
                <w:lang w:val="en-US"/>
              </w:rPr>
              <w:t>REQUIRED - Insert Name</w:t>
            </w:r>
            <w:r w:rsidRPr="00306131">
              <w:rPr>
                <w:rFonts w:ascii="Calibri" w:hAnsi="Calibri"/>
                <w:b/>
                <w:sz w:val="22"/>
                <w:szCs w:val="22"/>
              </w:rPr>
              <w:fldChar w:fldCharType="end"/>
            </w:r>
          </w:p>
        </w:tc>
        <w:tc>
          <w:tcPr>
            <w:tcW w:w="810" w:type="dxa"/>
            <w:vMerge w:val="restart"/>
            <w:tcBorders>
              <w:top w:val="nil"/>
              <w:left w:val="nil"/>
              <w:bottom w:val="nil"/>
              <w:right w:val="nil"/>
            </w:tcBorders>
            <w:vAlign w:val="bottom"/>
          </w:tcPr>
          <w:p w14:paraId="7AC31658" w14:textId="13732F24" w:rsidR="006652D6" w:rsidRPr="00306131" w:rsidRDefault="006652D6" w:rsidP="000F63D1">
            <w:pPr>
              <w:tabs>
                <w:tab w:val="left" w:pos="72"/>
              </w:tabs>
              <w:spacing w:before="120" w:after="0" w:line="240" w:lineRule="auto"/>
              <w:ind w:right="-108" w:hanging="18"/>
              <w:rPr>
                <w:rFonts w:cs="Arial"/>
              </w:rPr>
            </w:pPr>
            <w:r w:rsidRPr="00306131">
              <w:t>Lab Phone:</w:t>
            </w:r>
          </w:p>
        </w:tc>
        <w:tc>
          <w:tcPr>
            <w:tcW w:w="2612" w:type="dxa"/>
            <w:gridSpan w:val="3"/>
            <w:vMerge w:val="restart"/>
            <w:tcBorders>
              <w:top w:val="nil"/>
              <w:left w:val="nil"/>
              <w:bottom w:val="single" w:sz="4" w:space="0" w:color="auto"/>
              <w:right w:val="nil"/>
            </w:tcBorders>
            <w:vAlign w:val="bottom"/>
          </w:tcPr>
          <w:p w14:paraId="293D2E3F" w14:textId="77777777" w:rsidR="006652D6" w:rsidRPr="00306131" w:rsidRDefault="006652D6" w:rsidP="000F63D1">
            <w:pPr>
              <w:spacing w:before="120" w:after="0" w:line="240" w:lineRule="auto"/>
              <w:rPr>
                <w:rFonts w:cs="Arial"/>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306131" w:rsidRPr="00306131" w14:paraId="0A4717D0" w14:textId="77777777" w:rsidTr="000F63D1">
        <w:trPr>
          <w:trHeight w:val="77"/>
        </w:trPr>
        <w:tc>
          <w:tcPr>
            <w:tcW w:w="1724" w:type="dxa"/>
            <w:vMerge/>
            <w:tcBorders>
              <w:top w:val="nil"/>
              <w:left w:val="nil"/>
              <w:bottom w:val="nil"/>
              <w:right w:val="nil"/>
            </w:tcBorders>
            <w:vAlign w:val="center"/>
          </w:tcPr>
          <w:p w14:paraId="1F0EB350" w14:textId="77777777" w:rsidR="006652D6" w:rsidRPr="00306131" w:rsidRDefault="006652D6" w:rsidP="000F63D1">
            <w:pPr>
              <w:spacing w:after="0" w:line="240" w:lineRule="auto"/>
              <w:rPr>
                <w:rFonts w:eastAsia="Times New Roman"/>
              </w:rPr>
            </w:pPr>
          </w:p>
        </w:tc>
        <w:tc>
          <w:tcPr>
            <w:tcW w:w="1441" w:type="dxa"/>
            <w:gridSpan w:val="2"/>
            <w:tcBorders>
              <w:top w:val="nil"/>
              <w:left w:val="nil"/>
              <w:bottom w:val="nil"/>
              <w:right w:val="nil"/>
            </w:tcBorders>
            <w:vAlign w:val="bottom"/>
          </w:tcPr>
          <w:p w14:paraId="1201D2AA" w14:textId="3AEF0FB9" w:rsidR="006652D6" w:rsidRPr="00306131" w:rsidRDefault="006652D6" w:rsidP="000F63D1">
            <w:pPr>
              <w:pStyle w:val="Footer"/>
              <w:spacing w:before="120"/>
              <w:rPr>
                <w:rFonts w:ascii="Calibri" w:hAnsi="Calibri" w:cs="Arial"/>
                <w:sz w:val="22"/>
                <w:szCs w:val="22"/>
              </w:rPr>
            </w:pPr>
            <w:r w:rsidRPr="00306131">
              <w:rPr>
                <w:rFonts w:ascii="Calibri" w:hAnsi="Calibri"/>
                <w:sz w:val="22"/>
                <w:szCs w:val="22"/>
              </w:rPr>
              <w:t xml:space="preserve">Room #(s): </w:t>
            </w:r>
          </w:p>
        </w:tc>
        <w:tc>
          <w:tcPr>
            <w:tcW w:w="3149" w:type="dxa"/>
            <w:gridSpan w:val="3"/>
            <w:tcBorders>
              <w:top w:val="single" w:sz="4" w:space="0" w:color="auto"/>
              <w:left w:val="nil"/>
              <w:bottom w:val="single" w:sz="4" w:space="0" w:color="auto"/>
              <w:right w:val="nil"/>
            </w:tcBorders>
            <w:vAlign w:val="bottom"/>
          </w:tcPr>
          <w:p w14:paraId="6AFB8BFD" w14:textId="77777777" w:rsidR="006652D6" w:rsidRPr="00306131" w:rsidRDefault="006652D6" w:rsidP="000F63D1">
            <w:pPr>
              <w:pStyle w:val="Footer"/>
              <w:spacing w:before="120"/>
              <w:rPr>
                <w:rFonts w:ascii="Calibri" w:hAnsi="Calibri"/>
                <w:b/>
                <w:sz w:val="22"/>
                <w:szCs w:val="22"/>
              </w:rPr>
            </w:pPr>
            <w:r w:rsidRPr="00306131">
              <w:rPr>
                <w:rFonts w:ascii="Calibri" w:hAnsi="Calibri"/>
                <w:b/>
                <w:sz w:val="22"/>
                <w:szCs w:val="22"/>
              </w:rPr>
              <w:fldChar w:fldCharType="begin">
                <w:ffData>
                  <w:name w:val=""/>
                  <w:enabled/>
                  <w:calcOnExit w:val="0"/>
                  <w:textInput>
                    <w:default w:val="REQUIRED - Insert Number"/>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REQUIRED - Insert Number</w:t>
            </w:r>
            <w:r w:rsidRPr="00306131">
              <w:rPr>
                <w:rFonts w:ascii="Calibri" w:hAnsi="Calibri"/>
                <w:b/>
                <w:sz w:val="22"/>
                <w:szCs w:val="22"/>
              </w:rPr>
              <w:fldChar w:fldCharType="end"/>
            </w:r>
          </w:p>
        </w:tc>
        <w:tc>
          <w:tcPr>
            <w:tcW w:w="810" w:type="dxa"/>
            <w:vMerge/>
            <w:tcBorders>
              <w:top w:val="nil"/>
              <w:left w:val="nil"/>
              <w:bottom w:val="nil"/>
              <w:right w:val="nil"/>
            </w:tcBorders>
            <w:vAlign w:val="center"/>
          </w:tcPr>
          <w:p w14:paraId="4F3646A5" w14:textId="77777777" w:rsidR="006652D6" w:rsidRPr="00306131" w:rsidRDefault="006652D6" w:rsidP="000F63D1">
            <w:pPr>
              <w:spacing w:after="0" w:line="240" w:lineRule="auto"/>
              <w:rPr>
                <w:rFonts w:cs="Arial"/>
              </w:rPr>
            </w:pPr>
          </w:p>
        </w:tc>
        <w:tc>
          <w:tcPr>
            <w:tcW w:w="2612" w:type="dxa"/>
            <w:gridSpan w:val="3"/>
            <w:vMerge/>
            <w:tcBorders>
              <w:top w:val="nil"/>
              <w:left w:val="nil"/>
              <w:bottom w:val="single" w:sz="4" w:space="0" w:color="auto"/>
              <w:right w:val="nil"/>
            </w:tcBorders>
            <w:vAlign w:val="center"/>
          </w:tcPr>
          <w:p w14:paraId="70410AC5" w14:textId="77777777" w:rsidR="006652D6" w:rsidRPr="00306131" w:rsidRDefault="006652D6" w:rsidP="000F63D1">
            <w:pPr>
              <w:spacing w:after="0" w:line="240" w:lineRule="auto"/>
              <w:rPr>
                <w:rFonts w:cs="Arial"/>
                <w:b/>
              </w:rPr>
            </w:pPr>
          </w:p>
        </w:tc>
      </w:tr>
    </w:tbl>
    <w:p w14:paraId="64693DEF" w14:textId="77777777" w:rsidR="00087560" w:rsidRPr="005C3B86" w:rsidRDefault="00087560" w:rsidP="001C1AD8">
      <w:pPr>
        <w:pStyle w:val="Footer"/>
        <w:pBdr>
          <w:bottom w:val="single" w:sz="12" w:space="1" w:color="auto"/>
        </w:pBdr>
        <w:spacing w:after="200"/>
        <w:rPr>
          <w:rFonts w:ascii="Calibri" w:hAnsi="Calibri" w:cs="Arial"/>
          <w:sz w:val="20"/>
          <w:szCs w:val="20"/>
        </w:rPr>
      </w:pPr>
    </w:p>
    <w:p w14:paraId="3479DC95" w14:textId="297D2172" w:rsidR="001154FB" w:rsidRPr="00306131" w:rsidRDefault="004C242F" w:rsidP="001D7460">
      <w:pPr>
        <w:numPr>
          <w:ilvl w:val="0"/>
          <w:numId w:val="1"/>
        </w:numPr>
        <w:spacing w:after="120" w:line="240" w:lineRule="auto"/>
        <w:ind w:left="360" w:hanging="360"/>
        <w:rPr>
          <w:rFonts w:cs="Arial"/>
        </w:rPr>
      </w:pPr>
      <w:r w:rsidRPr="00306131">
        <w:rPr>
          <w:rFonts w:cs="Arial"/>
          <w:b/>
        </w:rPr>
        <w:t>HAZARD OVERVIEW</w:t>
      </w:r>
    </w:p>
    <w:p w14:paraId="4210030A" w14:textId="5B416B5A" w:rsidR="004D2BBD" w:rsidRPr="00306131" w:rsidRDefault="004D2BBD" w:rsidP="004D2BBD">
      <w:pPr>
        <w:spacing w:after="120" w:line="240" w:lineRule="auto"/>
        <w:ind w:left="360"/>
        <w:rPr>
          <w:rFonts w:cs="Arial"/>
        </w:rPr>
      </w:pPr>
      <w:r w:rsidRPr="00306131">
        <w:rPr>
          <w:rFonts w:cs="Arial"/>
        </w:rPr>
        <w:t xml:space="preserve">There is a broad spectrum of </w:t>
      </w:r>
      <w:r w:rsidR="000F63D1" w:rsidRPr="00306131">
        <w:rPr>
          <w:rFonts w:cs="Arial"/>
        </w:rPr>
        <w:t>A</w:t>
      </w:r>
      <w:r w:rsidR="00DB4890" w:rsidRPr="00306131">
        <w:rPr>
          <w:rFonts w:cs="Arial"/>
        </w:rPr>
        <w:t xml:space="preserve">cutely </w:t>
      </w:r>
      <w:r w:rsidR="000F63D1" w:rsidRPr="00306131">
        <w:rPr>
          <w:rFonts w:cs="Arial"/>
        </w:rPr>
        <w:t>T</w:t>
      </w:r>
      <w:r w:rsidRPr="00306131">
        <w:rPr>
          <w:rFonts w:cs="Arial"/>
        </w:rPr>
        <w:t xml:space="preserve">oxic </w:t>
      </w:r>
      <w:r w:rsidR="0049201C">
        <w:rPr>
          <w:rFonts w:cs="Arial"/>
        </w:rPr>
        <w:t>Solid and L</w:t>
      </w:r>
      <w:r w:rsidR="00D32569" w:rsidRPr="00306131">
        <w:rPr>
          <w:rFonts w:cs="Arial"/>
        </w:rPr>
        <w:t xml:space="preserve">iquid </w:t>
      </w:r>
      <w:r w:rsidRPr="00306131">
        <w:rPr>
          <w:rFonts w:cs="Arial"/>
        </w:rPr>
        <w:t xml:space="preserve">materials.  </w:t>
      </w:r>
      <w:r w:rsidR="00D32569" w:rsidRPr="00306131">
        <w:rPr>
          <w:rFonts w:cs="Arial"/>
        </w:rPr>
        <w:t xml:space="preserve">For these materials, a single short-term exposure at low concentrations can cause serious illness or death.  </w:t>
      </w:r>
      <w:r w:rsidR="004A5373" w:rsidRPr="00306131">
        <w:rPr>
          <w:rFonts w:cs="Arial"/>
        </w:rPr>
        <w:t>R</w:t>
      </w:r>
      <w:r w:rsidRPr="00306131">
        <w:rPr>
          <w:rFonts w:cs="Arial"/>
        </w:rPr>
        <w:t>ecognition of the hazards associated with the transportation, operation, storage</w:t>
      </w:r>
      <w:r w:rsidR="009C04F5" w:rsidRPr="00306131">
        <w:rPr>
          <w:rFonts w:cs="Arial"/>
        </w:rPr>
        <w:t>, and disposal</w:t>
      </w:r>
      <w:r w:rsidRPr="00306131">
        <w:rPr>
          <w:rFonts w:cs="Arial"/>
        </w:rPr>
        <w:t xml:space="preserve"> of these materials is essential.</w:t>
      </w:r>
    </w:p>
    <w:p w14:paraId="7B517856" w14:textId="77777777" w:rsidR="005D0E52" w:rsidRDefault="005D0E52" w:rsidP="001D7460">
      <w:pPr>
        <w:numPr>
          <w:ilvl w:val="0"/>
          <w:numId w:val="1"/>
        </w:numPr>
        <w:spacing w:after="120" w:line="240" w:lineRule="auto"/>
        <w:ind w:left="360" w:hanging="360"/>
        <w:rPr>
          <w:rFonts w:cs="Arial"/>
          <w:b/>
        </w:rPr>
      </w:pPr>
      <w:r>
        <w:rPr>
          <w:rFonts w:cs="Arial"/>
          <w:b/>
        </w:rPr>
        <w:t>HAZARDOUS CHEMICAL(S)/CLASS OF HAZARDOUS CHEMICAL(S)</w:t>
      </w:r>
    </w:p>
    <w:p w14:paraId="7F82760C" w14:textId="1CF94406" w:rsidR="004D2BBD" w:rsidRPr="00306131" w:rsidRDefault="004D2BBD" w:rsidP="004D2BBD">
      <w:pPr>
        <w:spacing w:after="120" w:line="240" w:lineRule="auto"/>
        <w:ind w:left="360"/>
        <w:rPr>
          <w:rFonts w:cs="Arial"/>
        </w:rPr>
      </w:pPr>
      <w:r w:rsidRPr="00306131">
        <w:rPr>
          <w:rFonts w:cs="Arial"/>
        </w:rPr>
        <w:t xml:space="preserve">An </w:t>
      </w:r>
      <w:r w:rsidR="000F63D1" w:rsidRPr="00306131">
        <w:rPr>
          <w:rFonts w:cs="Arial"/>
        </w:rPr>
        <w:t>A</w:t>
      </w:r>
      <w:r w:rsidRPr="00306131">
        <w:rPr>
          <w:rFonts w:cs="Arial"/>
        </w:rPr>
        <w:t xml:space="preserve">cutely </w:t>
      </w:r>
      <w:r w:rsidR="000F63D1" w:rsidRPr="00306131">
        <w:rPr>
          <w:rFonts w:cs="Arial"/>
        </w:rPr>
        <w:t>T</w:t>
      </w:r>
      <w:r w:rsidRPr="00306131">
        <w:rPr>
          <w:rFonts w:cs="Arial"/>
        </w:rPr>
        <w:t xml:space="preserve">oxic </w:t>
      </w:r>
      <w:r w:rsidR="003B16EF">
        <w:rPr>
          <w:rFonts w:cs="Arial"/>
        </w:rPr>
        <w:t>Solid or Liquid</w:t>
      </w:r>
      <w:r w:rsidRPr="00306131">
        <w:rPr>
          <w:rFonts w:cs="Arial"/>
        </w:rPr>
        <w:t xml:space="preserve"> is a chemical falling within any of the following categories:</w:t>
      </w:r>
    </w:p>
    <w:p w14:paraId="4AF79F79" w14:textId="2A5157C1" w:rsidR="004D2BBD" w:rsidRPr="00306131" w:rsidRDefault="004D2BBD" w:rsidP="00BA1C6E">
      <w:pPr>
        <w:pStyle w:val="ListParagraph"/>
        <w:numPr>
          <w:ilvl w:val="0"/>
          <w:numId w:val="37"/>
        </w:numPr>
        <w:spacing w:after="120"/>
        <w:ind w:left="720"/>
        <w:rPr>
          <w:rFonts w:cs="Arial"/>
        </w:rPr>
      </w:pPr>
      <w:r w:rsidRPr="00306131">
        <w:rPr>
          <w:rFonts w:cs="Arial"/>
        </w:rPr>
        <w:t>A chemical with a median lethal dose (LD</w:t>
      </w:r>
      <w:r w:rsidRPr="00306131">
        <w:rPr>
          <w:rFonts w:cs="Arial"/>
          <w:vertAlign w:val="subscript"/>
        </w:rPr>
        <w:t>50</w:t>
      </w:r>
      <w:r w:rsidRPr="00306131">
        <w:rPr>
          <w:rFonts w:cs="Arial"/>
        </w:rPr>
        <w:t xml:space="preserve">) of 50 mg or less per </w:t>
      </w:r>
      <w:r w:rsidR="007D02C1" w:rsidRPr="00306131">
        <w:rPr>
          <w:rFonts w:cs="Arial"/>
        </w:rPr>
        <w:t>k</w:t>
      </w:r>
      <w:r w:rsidRPr="00306131">
        <w:rPr>
          <w:rFonts w:cs="Arial"/>
        </w:rPr>
        <w:t>g of body weight when administered orally to albino rats weighing between 200 and 300 gm each.</w:t>
      </w:r>
    </w:p>
    <w:p w14:paraId="18ADBB34" w14:textId="0DA04E26" w:rsidR="00331DA7" w:rsidRPr="00306131" w:rsidRDefault="004D2BBD" w:rsidP="00BA1C6E">
      <w:pPr>
        <w:pStyle w:val="ListParagraph"/>
        <w:numPr>
          <w:ilvl w:val="0"/>
          <w:numId w:val="37"/>
        </w:numPr>
        <w:spacing w:after="120"/>
        <w:ind w:left="720"/>
        <w:rPr>
          <w:rFonts w:cs="Arial"/>
        </w:rPr>
      </w:pPr>
      <w:r w:rsidRPr="00306131">
        <w:rPr>
          <w:rFonts w:cs="Arial"/>
        </w:rPr>
        <w:lastRenderedPageBreak/>
        <w:t>A chemical with a median lethal dose (LD</w:t>
      </w:r>
      <w:r w:rsidRPr="00306131">
        <w:rPr>
          <w:rFonts w:cs="Arial"/>
          <w:vertAlign w:val="subscript"/>
        </w:rPr>
        <w:t>50</w:t>
      </w:r>
      <w:r w:rsidRPr="00306131">
        <w:rPr>
          <w:rFonts w:cs="Arial"/>
        </w:rPr>
        <w:t xml:space="preserve">) of 200 mg or less per </w:t>
      </w:r>
      <w:r w:rsidR="007D02C1" w:rsidRPr="00306131">
        <w:rPr>
          <w:rFonts w:cs="Arial"/>
        </w:rPr>
        <w:t>k</w:t>
      </w:r>
      <w:r w:rsidRPr="00306131">
        <w:rPr>
          <w:rFonts w:cs="Arial"/>
        </w:rPr>
        <w:t xml:space="preserve">g of body weight when administered by continuous contact for 24 hours (or less if death occurs within 24 hours) with the bare skin of albino rabbits weighing between 2 and 3 </w:t>
      </w:r>
      <w:r w:rsidR="007D02C1" w:rsidRPr="00306131">
        <w:rPr>
          <w:rFonts w:cs="Arial"/>
        </w:rPr>
        <w:t>k</w:t>
      </w:r>
      <w:r w:rsidRPr="00306131">
        <w:rPr>
          <w:rFonts w:cs="Arial"/>
        </w:rPr>
        <w:t>g each.</w:t>
      </w:r>
    </w:p>
    <w:p w14:paraId="5BF36FFD" w14:textId="02345A5B" w:rsidR="00331DA7" w:rsidRPr="00471A74" w:rsidRDefault="00331DA7" w:rsidP="00BA1C6E">
      <w:pPr>
        <w:pStyle w:val="ListParagraph"/>
        <w:numPr>
          <w:ilvl w:val="0"/>
          <w:numId w:val="37"/>
        </w:numPr>
        <w:spacing w:after="120"/>
        <w:ind w:left="720"/>
        <w:rPr>
          <w:rFonts w:cs="Arial"/>
        </w:rPr>
      </w:pPr>
      <w:r w:rsidRPr="00471A74">
        <w:rPr>
          <w:rFonts w:cs="Arial"/>
        </w:rPr>
        <w:t>A chemical that has a median lethal concentration (LC</w:t>
      </w:r>
      <w:r w:rsidRPr="00471A74">
        <w:rPr>
          <w:rFonts w:cs="Arial"/>
          <w:vertAlign w:val="subscript"/>
        </w:rPr>
        <w:t>50</w:t>
      </w:r>
      <w:r w:rsidRPr="00471A74">
        <w:rPr>
          <w:rFonts w:cs="Arial"/>
        </w:rPr>
        <w:t>) in air of 200 ppm by volume or less of gas or vapor, or 2 mg per liter or less of mist, fume, or dust, when administered by continuous inhalation for 1 hour (or less if death occurs within 1 hour) to albino rats weighing between 200 and 300 gm each.</w:t>
      </w:r>
      <w:r w:rsidR="003B16EF">
        <w:rPr>
          <w:rFonts w:cs="Arial"/>
        </w:rPr>
        <w:t xml:space="preserve"> </w:t>
      </w:r>
    </w:p>
    <w:p w14:paraId="251C1C4C" w14:textId="455BDFCE" w:rsidR="00D32569" w:rsidRPr="00471A74" w:rsidRDefault="00BE0EC7" w:rsidP="00D32569">
      <w:pPr>
        <w:spacing w:after="120" w:line="240" w:lineRule="auto"/>
        <w:ind w:left="360"/>
        <w:rPr>
          <w:rFonts w:cs="Arial"/>
        </w:rPr>
      </w:pPr>
      <w:r w:rsidRPr="00471A74">
        <w:rPr>
          <w:rFonts w:cs="Arial"/>
        </w:rPr>
        <w:t>Acutely Toxic Material</w:t>
      </w:r>
      <w:r w:rsidR="00D32569" w:rsidRPr="00471A74">
        <w:rPr>
          <w:rFonts w:cs="Arial"/>
        </w:rPr>
        <w:t xml:space="preserve">s can be identified </w:t>
      </w:r>
      <w:r w:rsidRPr="00471A74">
        <w:rPr>
          <w:rFonts w:cs="Arial"/>
        </w:rPr>
        <w:t xml:space="preserve">using </w:t>
      </w:r>
      <w:r w:rsidR="00D32569" w:rsidRPr="00471A74">
        <w:rPr>
          <w:rFonts w:cs="Arial"/>
        </w:rPr>
        <w:t>the Globally Harmonized System Hazard Code</w:t>
      </w:r>
      <w:r w:rsidRPr="00471A74">
        <w:rPr>
          <w:rFonts w:cs="Arial"/>
        </w:rPr>
        <w:t>s</w:t>
      </w:r>
      <w:r w:rsidR="00D32569" w:rsidRPr="00471A74">
        <w:rPr>
          <w:rFonts w:cs="Arial"/>
        </w:rPr>
        <w:t xml:space="preserve"> H300 (</w:t>
      </w:r>
      <w:r w:rsidR="00331DA7" w:rsidRPr="00471A74">
        <w:rPr>
          <w:rFonts w:cs="Arial"/>
        </w:rPr>
        <w:t xml:space="preserve">Fatal if swallowed), </w:t>
      </w:r>
      <w:r w:rsidR="00D32569" w:rsidRPr="00471A74">
        <w:rPr>
          <w:rFonts w:cs="Arial"/>
        </w:rPr>
        <w:t>H310 (Fatal in contact with skin)</w:t>
      </w:r>
      <w:r w:rsidR="00331DA7" w:rsidRPr="00471A74">
        <w:rPr>
          <w:rFonts w:cs="Arial"/>
        </w:rPr>
        <w:t xml:space="preserve"> and H330 (Fatal if inhaled)</w:t>
      </w:r>
      <w:r w:rsidR="00D32569" w:rsidRPr="00471A74">
        <w:rPr>
          <w:rFonts w:cs="Arial"/>
        </w:rPr>
        <w:t xml:space="preserve">.  </w:t>
      </w:r>
      <w:r w:rsidR="000F63D1" w:rsidRPr="00471A74">
        <w:rPr>
          <w:rFonts w:cs="Arial"/>
        </w:rPr>
        <w:t xml:space="preserve">A few examples of common Acutely Toxic Materials </w:t>
      </w:r>
      <w:r w:rsidR="00471A74" w:rsidRPr="00471A74">
        <w:rPr>
          <w:rFonts w:cs="Arial"/>
        </w:rPr>
        <w:t>used at SJSU</w:t>
      </w:r>
      <w:r w:rsidRPr="00471A74">
        <w:rPr>
          <w:rFonts w:cs="Arial"/>
        </w:rPr>
        <w:t xml:space="preserve"> include, but are not limited to, the following:</w:t>
      </w:r>
    </w:p>
    <w:p w14:paraId="42764BDA" w14:textId="77777777" w:rsidR="000F63D1" w:rsidRPr="00471A74" w:rsidRDefault="00AE5B0A" w:rsidP="00BB65A7">
      <w:pPr>
        <w:pStyle w:val="ListParagraph"/>
        <w:numPr>
          <w:ilvl w:val="0"/>
          <w:numId w:val="34"/>
        </w:numPr>
        <w:rPr>
          <w:rFonts w:cs="Arial"/>
        </w:rPr>
      </w:pPr>
      <w:r w:rsidRPr="00471A74">
        <w:rPr>
          <w:rFonts w:cs="Arial"/>
        </w:rPr>
        <w:t xml:space="preserve">Sodium </w:t>
      </w:r>
      <w:r w:rsidR="000F63D1" w:rsidRPr="00471A74">
        <w:rPr>
          <w:rFonts w:cs="Arial"/>
        </w:rPr>
        <w:t>Azide</w:t>
      </w:r>
    </w:p>
    <w:p w14:paraId="4F48C588" w14:textId="77777777" w:rsidR="000F63D1" w:rsidRPr="00471A74" w:rsidRDefault="000F63D1" w:rsidP="00BB65A7">
      <w:pPr>
        <w:pStyle w:val="ListParagraph"/>
        <w:numPr>
          <w:ilvl w:val="0"/>
          <w:numId w:val="34"/>
        </w:numPr>
        <w:rPr>
          <w:rFonts w:cs="Arial"/>
        </w:rPr>
      </w:pPr>
      <w:r w:rsidRPr="00471A74">
        <w:rPr>
          <w:rFonts w:cs="Arial"/>
        </w:rPr>
        <w:t>Mercaptoethanol</w:t>
      </w:r>
    </w:p>
    <w:p w14:paraId="35CEDC5B" w14:textId="77777777" w:rsidR="000F63D1" w:rsidRPr="00471A74" w:rsidRDefault="000F63D1" w:rsidP="00BB65A7">
      <w:pPr>
        <w:pStyle w:val="ListParagraph"/>
        <w:numPr>
          <w:ilvl w:val="0"/>
          <w:numId w:val="34"/>
        </w:numPr>
        <w:rPr>
          <w:rFonts w:cs="Arial"/>
        </w:rPr>
      </w:pPr>
      <w:r w:rsidRPr="00471A74">
        <w:rPr>
          <w:rFonts w:cs="Arial"/>
        </w:rPr>
        <w:t>Cyanide salts</w:t>
      </w:r>
    </w:p>
    <w:p w14:paraId="5BE862C1" w14:textId="77777777" w:rsidR="000F63D1" w:rsidRPr="00471A74" w:rsidRDefault="000F63D1" w:rsidP="00BB65A7">
      <w:pPr>
        <w:pStyle w:val="ListParagraph"/>
        <w:numPr>
          <w:ilvl w:val="0"/>
          <w:numId w:val="34"/>
        </w:numPr>
        <w:rPr>
          <w:rFonts w:cs="Arial"/>
        </w:rPr>
      </w:pPr>
      <w:r w:rsidRPr="00471A74">
        <w:rPr>
          <w:rFonts w:cs="Arial"/>
        </w:rPr>
        <w:t>Mercury compounds</w:t>
      </w:r>
    </w:p>
    <w:p w14:paraId="4490B276" w14:textId="5B4813B7" w:rsidR="000A38E9" w:rsidRDefault="00AE5B0A" w:rsidP="00970CD7">
      <w:pPr>
        <w:pStyle w:val="ListParagraph"/>
        <w:numPr>
          <w:ilvl w:val="0"/>
          <w:numId w:val="34"/>
        </w:numPr>
        <w:spacing w:after="120"/>
        <w:rPr>
          <w:rFonts w:cs="Arial"/>
        </w:rPr>
      </w:pPr>
      <w:r w:rsidRPr="00471A74">
        <w:rPr>
          <w:rFonts w:cs="Arial"/>
        </w:rPr>
        <w:t>Isocyanates</w:t>
      </w:r>
    </w:p>
    <w:p w14:paraId="7729437F" w14:textId="0ADE24CA" w:rsidR="003B16EF" w:rsidRPr="003B16EF" w:rsidRDefault="003B16EF" w:rsidP="003B16EF">
      <w:pPr>
        <w:spacing w:after="120" w:line="240" w:lineRule="auto"/>
        <w:ind w:left="360"/>
        <w:rPr>
          <w:rFonts w:cs="Arial"/>
        </w:rPr>
      </w:pPr>
      <w:r>
        <w:rPr>
          <w:rFonts w:cs="Arial"/>
        </w:rPr>
        <w:t xml:space="preserve">Note that </w:t>
      </w:r>
      <w:r w:rsidR="005F762C">
        <w:rPr>
          <w:rFonts w:cs="Arial"/>
        </w:rPr>
        <w:t xml:space="preserve">the above </w:t>
      </w:r>
      <w:r>
        <w:rPr>
          <w:rFonts w:cs="Arial"/>
        </w:rPr>
        <w:t>reference</w:t>
      </w:r>
      <w:r w:rsidR="005F762C">
        <w:rPr>
          <w:rFonts w:cs="Arial"/>
        </w:rPr>
        <w:t>s to inhalation toxicity</w:t>
      </w:r>
      <w:r>
        <w:rPr>
          <w:rFonts w:cs="Arial"/>
        </w:rPr>
        <w:t xml:space="preserve"> for Acutely Toxic Solids and Liquids refers to the vapor over the liquid. If the material is a gas, or </w:t>
      </w:r>
      <w:r w:rsidR="005F762C">
        <w:rPr>
          <w:rFonts w:cs="Arial"/>
        </w:rPr>
        <w:t xml:space="preserve">the use procedure involves a solid or liquid </w:t>
      </w:r>
      <w:r>
        <w:rPr>
          <w:rFonts w:cs="Arial"/>
        </w:rPr>
        <w:t xml:space="preserve">being intentionally vaporized/aerosolized, the material should be handled according to Acutely Toxic Gas SOP. Acutely Toxic Gases are </w:t>
      </w:r>
      <w:r w:rsidRPr="003B16EF">
        <w:rPr>
          <w:rFonts w:cs="Arial"/>
          <w:b/>
        </w:rPr>
        <w:t>not</w:t>
      </w:r>
      <w:r>
        <w:rPr>
          <w:rFonts w:cs="Arial"/>
          <w:b/>
        </w:rPr>
        <w:t xml:space="preserve"> </w:t>
      </w:r>
      <w:r>
        <w:rPr>
          <w:rFonts w:cs="Arial"/>
        </w:rPr>
        <w:t>covered by this SOP.</w:t>
      </w:r>
    </w:p>
    <w:p w14:paraId="5EBEF7D4" w14:textId="5FC10F49" w:rsidR="00471A74" w:rsidRPr="0049201C" w:rsidRDefault="00471A74" w:rsidP="0005484B">
      <w:pPr>
        <w:tabs>
          <w:tab w:val="left" w:pos="360"/>
        </w:tabs>
        <w:spacing w:after="180" w:line="240" w:lineRule="auto"/>
        <w:ind w:left="360"/>
        <w:rPr>
          <w:rFonts w:cs="Arial"/>
        </w:rPr>
      </w:pPr>
      <w:r w:rsidRPr="00530A14">
        <w:rPr>
          <w:rFonts w:cs="Arial"/>
          <w:b/>
          <w:highlight w:val="yellow"/>
        </w:rPr>
        <w:t>REQUIRED:</w:t>
      </w:r>
      <w:r w:rsidRPr="0049201C">
        <w:rPr>
          <w:rFonts w:cs="Arial"/>
          <w:highlight w:val="yellow"/>
        </w:rPr>
        <w:t xml:space="preserve"> List (or attach) the applicable chemical(s) for your inventory, and describe important properties and signs/symptoms of exposure.</w:t>
      </w:r>
    </w:p>
    <w:p w14:paraId="62CB478A" w14:textId="45E120FC" w:rsidR="00C2244D" w:rsidRDefault="00C2244D" w:rsidP="001D7460">
      <w:pPr>
        <w:numPr>
          <w:ilvl w:val="0"/>
          <w:numId w:val="1"/>
        </w:numPr>
        <w:spacing w:after="120" w:line="240" w:lineRule="auto"/>
        <w:ind w:left="360" w:hanging="360"/>
        <w:rPr>
          <w:rFonts w:cs="Arial"/>
          <w:b/>
        </w:rPr>
      </w:pPr>
      <w:r w:rsidRPr="005C3B86">
        <w:rPr>
          <w:rFonts w:cs="Arial"/>
          <w:b/>
        </w:rPr>
        <w:t>ENGINEERING/VENTILATION CONTROLS</w:t>
      </w:r>
    </w:p>
    <w:p w14:paraId="2B846016" w14:textId="7AA51C32" w:rsidR="004D2BBD" w:rsidRPr="00471A74" w:rsidRDefault="004D2BBD" w:rsidP="004D2BBD">
      <w:pPr>
        <w:spacing w:after="120" w:line="240" w:lineRule="auto"/>
        <w:ind w:left="360"/>
        <w:rPr>
          <w:rFonts w:cs="Arial"/>
        </w:rPr>
      </w:pPr>
      <w:r w:rsidRPr="00471A74">
        <w:rPr>
          <w:rFonts w:cs="Arial"/>
        </w:rPr>
        <w:t>The following is a general plan</w:t>
      </w:r>
      <w:r w:rsidR="005F762C">
        <w:rPr>
          <w:rFonts w:cs="Arial"/>
        </w:rPr>
        <w:t xml:space="preserve"> for all Acutely Toxic Solids and Liquids</w:t>
      </w:r>
      <w:r w:rsidRPr="00471A74">
        <w:rPr>
          <w:rFonts w:cs="Arial"/>
        </w:rPr>
        <w:t>:</w:t>
      </w:r>
    </w:p>
    <w:p w14:paraId="7B3F3150" w14:textId="77777777" w:rsidR="00471A74" w:rsidRPr="00647C4F" w:rsidRDefault="00471A74" w:rsidP="00471A74">
      <w:pPr>
        <w:pStyle w:val="ListParagraph"/>
        <w:numPr>
          <w:ilvl w:val="0"/>
          <w:numId w:val="35"/>
        </w:numPr>
        <w:rPr>
          <w:rFonts w:cs="Arial"/>
        </w:rPr>
      </w:pPr>
      <w:r w:rsidRPr="00647C4F">
        <w:rPr>
          <w:rFonts w:cs="Arial"/>
        </w:rPr>
        <w:t>Use containment devices (</w:t>
      </w:r>
      <w:r w:rsidRPr="00647C4F">
        <w:rPr>
          <w:rFonts w:cs="Arial"/>
          <w:i/>
        </w:rPr>
        <w:t>e.g.,</w:t>
      </w:r>
      <w:r w:rsidRPr="00647C4F">
        <w:rPr>
          <w:rFonts w:cs="Arial"/>
        </w:rPr>
        <w:t xml:space="preserve"> chemical fume hoods, glove boxes, etc.) when: </w:t>
      </w:r>
    </w:p>
    <w:p w14:paraId="4253D0C9" w14:textId="77777777" w:rsidR="00471A74" w:rsidRPr="00647C4F" w:rsidRDefault="00471A74" w:rsidP="00471A74">
      <w:pPr>
        <w:pStyle w:val="ListParagraph"/>
        <w:numPr>
          <w:ilvl w:val="1"/>
          <w:numId w:val="41"/>
        </w:numPr>
        <w:ind w:left="1080"/>
        <w:rPr>
          <w:rFonts w:cs="Arial"/>
        </w:rPr>
      </w:pPr>
      <w:r w:rsidRPr="00647C4F">
        <w:rPr>
          <w:rFonts w:cs="Arial"/>
        </w:rPr>
        <w:t xml:space="preserve">Using volatile and/or semi-volatile substances; </w:t>
      </w:r>
    </w:p>
    <w:p w14:paraId="247D7947" w14:textId="77777777" w:rsidR="00471A74" w:rsidRPr="00647C4F" w:rsidRDefault="00471A74" w:rsidP="00471A74">
      <w:pPr>
        <w:pStyle w:val="ListParagraph"/>
        <w:numPr>
          <w:ilvl w:val="1"/>
          <w:numId w:val="41"/>
        </w:numPr>
        <w:ind w:left="1080"/>
        <w:rPr>
          <w:rFonts w:cs="Arial"/>
        </w:rPr>
      </w:pPr>
      <w:r w:rsidRPr="00647C4F">
        <w:rPr>
          <w:rFonts w:cs="Arial"/>
        </w:rPr>
        <w:t xml:space="preserve">Manipulating substances that may generate aerosols; and </w:t>
      </w:r>
    </w:p>
    <w:p w14:paraId="7CA24C7D" w14:textId="77777777" w:rsidR="00471A74" w:rsidRPr="00647C4F" w:rsidRDefault="00471A74" w:rsidP="00471A74">
      <w:pPr>
        <w:pStyle w:val="ListParagraph"/>
        <w:numPr>
          <w:ilvl w:val="1"/>
          <w:numId w:val="41"/>
        </w:numPr>
        <w:ind w:left="1080"/>
        <w:rPr>
          <w:rFonts w:cs="Arial"/>
        </w:rPr>
      </w:pPr>
      <w:r w:rsidRPr="00647C4F">
        <w:rPr>
          <w:rFonts w:cs="Arial"/>
        </w:rPr>
        <w:t>Performing laboratory procedures that may result in an uncontrolled release.</w:t>
      </w:r>
    </w:p>
    <w:p w14:paraId="795D6459" w14:textId="127C5651" w:rsidR="00471A74" w:rsidRPr="002D7FEA" w:rsidRDefault="00471A74" w:rsidP="00471A74">
      <w:pPr>
        <w:pStyle w:val="ListParagraph"/>
        <w:numPr>
          <w:ilvl w:val="0"/>
          <w:numId w:val="41"/>
        </w:numPr>
        <w:spacing w:after="120"/>
        <w:rPr>
          <w:rFonts w:cs="Arial"/>
        </w:rPr>
      </w:pPr>
      <w:r w:rsidRPr="002D7FEA">
        <w:rPr>
          <w:rFonts w:cs="Arial"/>
        </w:rPr>
        <w:t>The tare method should be used to prevent inhalation of the chemical</w:t>
      </w:r>
      <w:r w:rsidR="005F762C">
        <w:rPr>
          <w:rFonts w:cs="Arial"/>
        </w:rPr>
        <w:t xml:space="preserve"> if weighing Acutely Toxic Solids and Liquids</w:t>
      </w:r>
      <w:r>
        <w:rPr>
          <w:rFonts w:cs="Arial"/>
        </w:rPr>
        <w:t xml:space="preserve"> in a containment device is not feasible</w:t>
      </w:r>
      <w:r w:rsidRPr="002D7FEA">
        <w:rPr>
          <w:rFonts w:cs="Arial"/>
        </w:rPr>
        <w:t xml:space="preserve">.  </w:t>
      </w:r>
      <w:r>
        <w:rPr>
          <w:rFonts w:cs="Arial"/>
        </w:rPr>
        <w:t>To</w:t>
      </w:r>
      <w:r w:rsidR="005F762C">
        <w:rPr>
          <w:rFonts w:cs="Arial"/>
        </w:rPr>
        <w:t xml:space="preserve"> do this, the Acutely Toxic Solid/Liquid</w:t>
      </w:r>
      <w:r w:rsidRPr="002D7FEA">
        <w:rPr>
          <w:rFonts w:cs="Arial"/>
        </w:rPr>
        <w:t xml:space="preserve"> is added to a pre-weighed container, while working inside the fume hood.  The container is then sealed and can be re-weighed outside of the fume hood.  If a chemical needs to be added or removed, this manipulation is carried out in the fume hood.  In this manner, all open chemical handling is conducted in the fume hood.</w:t>
      </w:r>
    </w:p>
    <w:p w14:paraId="0EDF9DCD" w14:textId="6078B05D" w:rsidR="00471A74" w:rsidRPr="00A908CD" w:rsidRDefault="00471A74" w:rsidP="00471A74">
      <w:pPr>
        <w:spacing w:after="120" w:line="240" w:lineRule="auto"/>
        <w:ind w:left="360"/>
        <w:rPr>
          <w:rFonts w:cs="Arial"/>
          <w:color w:val="002855"/>
        </w:rPr>
      </w:pPr>
      <w:r w:rsidRPr="00F60A75">
        <w:t xml:space="preserve">If you must use </w:t>
      </w:r>
      <w:r w:rsidR="005F762C">
        <w:t>Acutely Toxic Solids or Liquids</w:t>
      </w:r>
      <w:r w:rsidRPr="00F60A75">
        <w:t xml:space="preserve"> without/outside of engineering or ventilation controls, you must contact the Chemical Hygiene Officer or </w:t>
      </w:r>
      <w:hyperlink r:id="rId9" w:history="1">
        <w:r w:rsidR="00BB1482">
          <w:rPr>
            <w:rStyle w:val="Hyperlink"/>
          </w:rPr>
          <w:t>ehs@sjsu.edu</w:t>
        </w:r>
      </w:hyperlink>
      <w:r w:rsidRPr="00A908CD">
        <w:rPr>
          <w:color w:val="002855"/>
        </w:rPr>
        <w:t xml:space="preserve"> </w:t>
      </w:r>
      <w:r w:rsidRPr="00F60A75">
        <w:t xml:space="preserve">for an exposure assessment.  </w:t>
      </w:r>
    </w:p>
    <w:p w14:paraId="33B57181" w14:textId="088849ED" w:rsidR="00471A74" w:rsidRPr="00A908CD" w:rsidRDefault="00471A74" w:rsidP="00471A74">
      <w:pPr>
        <w:tabs>
          <w:tab w:val="left" w:pos="360"/>
        </w:tabs>
        <w:spacing w:after="120" w:line="240" w:lineRule="auto"/>
        <w:ind w:left="360"/>
        <w:rPr>
          <w:rFonts w:cs="Arial"/>
        </w:rPr>
      </w:pPr>
      <w:r w:rsidRPr="00530A14">
        <w:rPr>
          <w:rFonts w:cs="Arial"/>
          <w:b/>
          <w:highlight w:val="yellow"/>
        </w:rPr>
        <w:t>REQUIRED:</w:t>
      </w:r>
      <w:r w:rsidRPr="00A908CD">
        <w:rPr>
          <w:rFonts w:cs="Arial"/>
          <w:highlight w:val="yellow"/>
        </w:rPr>
        <w:t xml:space="preserve"> Describe the lab-specific engineering or ventilation controls and equipment safety features (if applicable) that will be used </w:t>
      </w:r>
      <w:r>
        <w:rPr>
          <w:rFonts w:cs="Arial"/>
          <w:highlight w:val="yellow"/>
        </w:rPr>
        <w:t xml:space="preserve">to reduce the risk of chemical exposures to Acutely Toxic </w:t>
      </w:r>
      <w:r w:rsidR="005F762C">
        <w:rPr>
          <w:rFonts w:cs="Arial"/>
          <w:highlight w:val="yellow"/>
        </w:rPr>
        <w:t xml:space="preserve">Solid and Liquid </w:t>
      </w:r>
      <w:r>
        <w:rPr>
          <w:rFonts w:cs="Arial"/>
          <w:highlight w:val="yellow"/>
        </w:rPr>
        <w:t>chemical exposures</w:t>
      </w:r>
      <w:r w:rsidRPr="00A908CD">
        <w:rPr>
          <w:rFonts w:cs="Arial"/>
          <w:highlight w:val="yellow"/>
        </w:rPr>
        <w:t>.</w:t>
      </w:r>
    </w:p>
    <w:p w14:paraId="6FF15E26" w14:textId="39964EF6" w:rsidR="00F94629" w:rsidRDefault="00F94629" w:rsidP="001D7460">
      <w:pPr>
        <w:numPr>
          <w:ilvl w:val="0"/>
          <w:numId w:val="1"/>
        </w:numPr>
        <w:spacing w:after="120" w:line="240" w:lineRule="auto"/>
        <w:ind w:left="360" w:hanging="360"/>
        <w:rPr>
          <w:rFonts w:cs="Arial"/>
          <w:b/>
        </w:rPr>
      </w:pPr>
      <w:r>
        <w:rPr>
          <w:rFonts w:cs="Arial"/>
          <w:b/>
        </w:rPr>
        <w:t>ADMINISTRATIVE CONTROLS</w:t>
      </w:r>
    </w:p>
    <w:p w14:paraId="155889BB" w14:textId="77777777" w:rsidR="00D440F7" w:rsidRPr="00471A74" w:rsidRDefault="00D440F7" w:rsidP="00D440F7">
      <w:pPr>
        <w:tabs>
          <w:tab w:val="left" w:pos="360"/>
        </w:tabs>
        <w:spacing w:after="120" w:line="240" w:lineRule="auto"/>
        <w:ind w:left="360"/>
        <w:rPr>
          <w:rFonts w:cs="Arial"/>
        </w:rPr>
      </w:pPr>
      <w:r w:rsidRPr="00471A74">
        <w:rPr>
          <w:rFonts w:cs="Arial"/>
        </w:rPr>
        <w:t xml:space="preserve">The following elements are </w:t>
      </w:r>
      <w:r w:rsidRPr="00471A74">
        <w:rPr>
          <w:rFonts w:cs="Arial"/>
          <w:u w:val="single"/>
        </w:rPr>
        <w:t>required</w:t>
      </w:r>
      <w:r w:rsidRPr="00471A74">
        <w:rPr>
          <w:rFonts w:cs="Arial"/>
        </w:rPr>
        <w:t>:</w:t>
      </w:r>
    </w:p>
    <w:p w14:paraId="4FA18925" w14:textId="77777777" w:rsidR="00471A74" w:rsidRPr="00146050" w:rsidRDefault="00471A74" w:rsidP="00471A74">
      <w:pPr>
        <w:pStyle w:val="ListParagraph"/>
        <w:numPr>
          <w:ilvl w:val="0"/>
          <w:numId w:val="30"/>
        </w:numPr>
        <w:tabs>
          <w:tab w:val="left" w:pos="360"/>
        </w:tabs>
        <w:ind w:left="720"/>
        <w:rPr>
          <w:rFonts w:cs="Arial"/>
        </w:rPr>
      </w:pPr>
      <w:r w:rsidRPr="00146050">
        <w:rPr>
          <w:rFonts w:cs="Arial"/>
        </w:rPr>
        <w:lastRenderedPageBreak/>
        <w:t>Complete laboratory safety training prior to working in the laboratory;</w:t>
      </w:r>
    </w:p>
    <w:p w14:paraId="03171DEC" w14:textId="77777777" w:rsidR="00471A74" w:rsidRPr="00146050" w:rsidRDefault="00471A74" w:rsidP="00471A74">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28E3932B" w14:textId="77777777"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3D91A773" w14:textId="77777777" w:rsidR="00471A74" w:rsidRPr="00287F8F" w:rsidRDefault="00471A74" w:rsidP="00471A74">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0" w:history="1">
        <w:r w:rsidRPr="00287F8F">
          <w:rPr>
            <w:rStyle w:val="Hyperlink"/>
            <w:rFonts w:cs="Calibri"/>
          </w:rPr>
          <w:t>MSDS online</w:t>
        </w:r>
      </w:hyperlink>
      <w:r w:rsidRPr="00146050">
        <w:rPr>
          <w:rFonts w:cs="Calibri"/>
        </w:rPr>
        <w:t>);</w:t>
      </w:r>
    </w:p>
    <w:p w14:paraId="17D1B48E" w14:textId="77777777"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630873E4" w14:textId="3AC1DBDB"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1"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5652D688" w14:textId="77777777" w:rsidR="00471A74" w:rsidRPr="00146050" w:rsidRDefault="00471A74" w:rsidP="00471A74">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42FCFE0A" w14:textId="0F26A0C2" w:rsidR="00471A74" w:rsidRPr="00146050" w:rsidRDefault="00471A74" w:rsidP="00471A74">
      <w:pPr>
        <w:pStyle w:val="ListParagraph"/>
        <w:numPr>
          <w:ilvl w:val="0"/>
          <w:numId w:val="30"/>
        </w:numPr>
        <w:tabs>
          <w:tab w:val="left" w:pos="360"/>
          <w:tab w:val="left" w:pos="450"/>
        </w:tabs>
        <w:spacing w:after="120"/>
        <w:ind w:left="720"/>
        <w:rPr>
          <w:rFonts w:cs="Arial"/>
          <w:b/>
        </w:rPr>
      </w:pPr>
      <w:r w:rsidRPr="00146050">
        <w:rPr>
          <w:rFonts w:cs="Arial"/>
        </w:rPr>
        <w:t xml:space="preserve">Notify the PI of any accidents, incidents, near-misses, or unexpected outcomes involving the </w:t>
      </w:r>
      <w:r w:rsidR="00273D83">
        <w:rPr>
          <w:rFonts w:cs="Arial"/>
        </w:rPr>
        <w:t>Acutely Toxic Solids and Liquids</w:t>
      </w:r>
      <w:r w:rsidRPr="00146050">
        <w:rPr>
          <w:rFonts w:cs="Arial"/>
        </w:rPr>
        <w:t xml:space="preserve"> described in this SOP.</w:t>
      </w:r>
    </w:p>
    <w:p w14:paraId="22B50F31" w14:textId="77777777" w:rsidR="00FA1113" w:rsidRPr="00FA1113" w:rsidRDefault="00FA1113" w:rsidP="00FA1113">
      <w:pPr>
        <w:tabs>
          <w:tab w:val="left" w:pos="360"/>
        </w:tabs>
        <w:spacing w:after="120" w:line="240" w:lineRule="auto"/>
        <w:ind w:left="360"/>
        <w:rPr>
          <w:rFonts w:cs="Arial"/>
        </w:rPr>
      </w:pPr>
      <w:r w:rsidRPr="00530A14">
        <w:rPr>
          <w:rFonts w:cs="Arial"/>
          <w:b/>
          <w:highlight w:val="yellow"/>
        </w:rPr>
        <w:t>REQUIRED:</w:t>
      </w:r>
      <w:r w:rsidRPr="00FA1113">
        <w:rPr>
          <w:rFonts w:cs="Arial"/>
          <w:highlight w:val="yellow"/>
        </w:rPr>
        <w:t xml:space="preserve"> Insert the laboratory-specific restrictions on maximum quantities to be used or stored, including any special handling or storage requirements.</w:t>
      </w:r>
    </w:p>
    <w:p w14:paraId="171495CF" w14:textId="0EAF575B" w:rsidR="00FA1113" w:rsidRPr="00FA1113" w:rsidRDefault="00FA1113" w:rsidP="00FA1113">
      <w:pPr>
        <w:tabs>
          <w:tab w:val="left" w:pos="360"/>
        </w:tabs>
        <w:spacing w:after="180" w:line="240" w:lineRule="auto"/>
        <w:ind w:left="360"/>
        <w:rPr>
          <w:rFonts w:cs="Arial"/>
        </w:rPr>
      </w:pPr>
      <w:r w:rsidRPr="00530A14">
        <w:rPr>
          <w:rFonts w:cs="Arial"/>
          <w:b/>
          <w:highlight w:val="yellow"/>
        </w:rPr>
        <w:t>INSERT IF APPLICABLE:</w:t>
      </w:r>
      <w:r w:rsidRPr="00FA1113">
        <w:rPr>
          <w:rFonts w:cs="Arial"/>
          <w:highlight w:val="yellow"/>
        </w:rPr>
        <w:t xml:space="preserve"> Describe an</w:t>
      </w:r>
      <w:r w:rsidR="005F762C">
        <w:rPr>
          <w:rFonts w:cs="Arial"/>
          <w:highlight w:val="yellow"/>
        </w:rPr>
        <w:t>y</w:t>
      </w:r>
      <w:r w:rsidRPr="00FA1113">
        <w:rPr>
          <w:rFonts w:cs="Arial"/>
          <w:highlight w:val="yellow"/>
        </w:rPr>
        <w:t xml:space="preserve"> additional administrative controls (e.g. restrictions on working alone/procedure/work equipment/work locations/unattended operations). Include any chemical-specific administrative controls (e.g. peroxide formers).</w:t>
      </w:r>
    </w:p>
    <w:p w14:paraId="0BE4D7E8" w14:textId="69323D4E" w:rsidR="006C154A" w:rsidRPr="007123FB" w:rsidRDefault="006C154A" w:rsidP="001D7460">
      <w:pPr>
        <w:numPr>
          <w:ilvl w:val="0"/>
          <w:numId w:val="1"/>
        </w:numPr>
        <w:spacing w:after="120" w:line="240" w:lineRule="auto"/>
        <w:ind w:left="360" w:hanging="360"/>
        <w:rPr>
          <w:rFonts w:cs="Arial"/>
          <w:b/>
        </w:rPr>
      </w:pPr>
      <w:r w:rsidRPr="005C3B86">
        <w:rPr>
          <w:rFonts w:cs="Arial"/>
          <w:b/>
        </w:rPr>
        <w:t>PERSONAL PROTECTIVE EQUIPMENT (PPE)</w:t>
      </w:r>
    </w:p>
    <w:p w14:paraId="653B95AD" w14:textId="77777777" w:rsidR="00765CCC" w:rsidRPr="00FA1113" w:rsidRDefault="00765CCC" w:rsidP="00765CCC">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FA1113">
        <w:rPr>
          <w:rFonts w:cs="Arial"/>
        </w:rPr>
        <w:t>At a minimum, long pants (covered legs) and closed toe/closed heel shoes (covered feet) are required to enter a laboratory or technical area where hazardous chemicals are used or stored.</w:t>
      </w:r>
    </w:p>
    <w:p w14:paraId="39EA091B" w14:textId="142AF161" w:rsidR="00765CCC" w:rsidRPr="00FA1113" w:rsidRDefault="00765CCC" w:rsidP="00765CCC">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cs="Arial"/>
        </w:rPr>
      </w:pPr>
      <w:r w:rsidRPr="00FA1113">
        <w:rPr>
          <w:rFonts w:cs="Arial"/>
        </w:rPr>
        <w:t xml:space="preserve">In addition to the minimum </w:t>
      </w:r>
      <w:r w:rsidR="006E3E44" w:rsidRPr="00FA1113">
        <w:rPr>
          <w:rFonts w:cs="Arial"/>
        </w:rPr>
        <w:t>attire</w:t>
      </w:r>
      <w:r w:rsidRPr="00FA1113">
        <w:rPr>
          <w:rFonts w:cs="Arial"/>
        </w:rPr>
        <w:t xml:space="preserve"> required upon entering a laboratory, the following </w:t>
      </w:r>
      <w:r w:rsidR="006E3E44" w:rsidRPr="00FA1113">
        <w:rPr>
          <w:rFonts w:cs="Arial"/>
        </w:rPr>
        <w:t xml:space="preserve">PPE </w:t>
      </w:r>
      <w:r w:rsidR="009567CA" w:rsidRPr="00FA1113">
        <w:rPr>
          <w:rFonts w:cs="Arial"/>
        </w:rPr>
        <w:t xml:space="preserve">is </w:t>
      </w:r>
      <w:r w:rsidRPr="00FA1113">
        <w:rPr>
          <w:rFonts w:cs="Arial"/>
        </w:rPr>
        <w:t>required for work with A</w:t>
      </w:r>
      <w:r w:rsidR="005F762C">
        <w:rPr>
          <w:rFonts w:cs="Arial"/>
        </w:rPr>
        <w:t>cutely Toxic Solids and Liquids</w:t>
      </w:r>
      <w:r w:rsidRPr="00FA1113">
        <w:rPr>
          <w:rFonts w:cs="Arial"/>
        </w:rPr>
        <w:t>:</w:t>
      </w:r>
    </w:p>
    <w:p w14:paraId="31D36AC4" w14:textId="77777777" w:rsidR="00FA1113" w:rsidRPr="000F71A5" w:rsidRDefault="00FA1113" w:rsidP="00FA111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b/>
        </w:rPr>
      </w:pPr>
      <w:r w:rsidRPr="000F71A5">
        <w:rPr>
          <w:rFonts w:cs="Arial"/>
          <w:b/>
        </w:rPr>
        <w:t>Eye Protection</w:t>
      </w:r>
      <w:r>
        <w:rPr>
          <w:rFonts w:cs="Arial"/>
          <w:b/>
        </w:rPr>
        <w:t xml:space="preserve"> </w:t>
      </w:r>
      <w:r>
        <w:rPr>
          <w:rFonts w:cs="Arial"/>
        </w:rPr>
        <w:t>(must be ANSI Z87.1-compliant)</w:t>
      </w:r>
      <w:r w:rsidRPr="000F71A5">
        <w:rPr>
          <w:rFonts w:cs="Arial"/>
          <w:b/>
        </w:rPr>
        <w:t>:</w:t>
      </w:r>
    </w:p>
    <w:p w14:paraId="16B3B9C5" w14:textId="77777777" w:rsidR="00FA1113" w:rsidRPr="00D65D2D" w:rsidRDefault="00FA1113" w:rsidP="00FA1113">
      <w:pPr>
        <w:pStyle w:val="ListParagraph"/>
        <w:numPr>
          <w:ilvl w:val="0"/>
          <w:numId w:val="43"/>
        </w:numPr>
        <w:tabs>
          <w:tab w:val="left" w:pos="-1440"/>
          <w:tab w:val="left" w:pos="-720"/>
          <w:tab w:val="left" w:pos="0"/>
          <w:tab w:val="left" w:pos="360"/>
          <w:tab w:val="left" w:pos="1122"/>
          <w:tab w:val="left" w:pos="1440"/>
          <w:tab w:val="left" w:pos="1890"/>
          <w:tab w:val="left" w:pos="2160"/>
        </w:tabs>
        <w:suppressAutoHyphens/>
        <w:rPr>
          <w:rFonts w:cs="Arial"/>
        </w:rPr>
      </w:pPr>
      <w:r w:rsidRPr="00D65D2D">
        <w:rPr>
          <w:rFonts w:cs="Arial"/>
        </w:rPr>
        <w:t>At a minimum safety glasses are necessary.</w:t>
      </w:r>
    </w:p>
    <w:p w14:paraId="07EA88DF" w14:textId="77777777" w:rsidR="00FA1113" w:rsidRPr="00D65D2D" w:rsidRDefault="00FA1113" w:rsidP="00FA1113">
      <w:pPr>
        <w:pStyle w:val="ListParagraph"/>
        <w:numPr>
          <w:ilvl w:val="0"/>
          <w:numId w:val="43"/>
        </w:numPr>
        <w:tabs>
          <w:tab w:val="left" w:pos="-1440"/>
          <w:tab w:val="left" w:pos="-720"/>
          <w:tab w:val="left" w:pos="0"/>
          <w:tab w:val="left" w:pos="360"/>
          <w:tab w:val="left" w:pos="1122"/>
          <w:tab w:val="left" w:pos="1440"/>
          <w:tab w:val="left" w:pos="2160"/>
        </w:tabs>
        <w:suppressAutoHyphens/>
        <w:rPr>
          <w:rFonts w:cs="Arial"/>
        </w:rPr>
      </w:pPr>
      <w:r w:rsidRPr="00D65D2D">
        <w:rPr>
          <w:rFonts w:cs="Arial"/>
        </w:rPr>
        <w:t>Splash goggles may be substituted for safety glasses, and are required for processes where splashes are foreseeable or when generating aerosols.</w:t>
      </w:r>
    </w:p>
    <w:p w14:paraId="4B917F5E" w14:textId="77777777" w:rsidR="00FA1113" w:rsidRPr="00D65D2D" w:rsidRDefault="00FA1113" w:rsidP="00FA1113">
      <w:pPr>
        <w:pStyle w:val="ListParagraph"/>
        <w:numPr>
          <w:ilvl w:val="0"/>
          <w:numId w:val="43"/>
        </w:numPr>
        <w:tabs>
          <w:tab w:val="left" w:pos="-1440"/>
          <w:tab w:val="left" w:pos="-720"/>
          <w:tab w:val="left" w:pos="0"/>
          <w:tab w:val="left" w:pos="360"/>
          <w:tab w:val="left" w:pos="1122"/>
          <w:tab w:val="left" w:pos="1440"/>
          <w:tab w:val="left" w:pos="2160"/>
        </w:tabs>
        <w:suppressAutoHyphens/>
        <w:spacing w:after="120"/>
        <w:rPr>
          <w:rFonts w:cs="Arial"/>
        </w:rPr>
      </w:pPr>
      <w:r w:rsidRPr="00D65D2D">
        <w:rPr>
          <w:rFonts w:cs="Arial"/>
        </w:rPr>
        <w:t>Ordinary prescription glasses are not acceptable eye protection and cannot be used in lieu of proper safety eyewear.</w:t>
      </w:r>
    </w:p>
    <w:p w14:paraId="27D0275F" w14:textId="77777777" w:rsidR="00FA1113" w:rsidRPr="00661C35" w:rsidRDefault="00FA1113" w:rsidP="00FA111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Body Protection</w:t>
      </w:r>
      <w:r w:rsidRPr="00661C35">
        <w:rPr>
          <w:rFonts w:cs="Arial"/>
        </w:rPr>
        <w:t>: At a minimum a chemically-compatible laboratory coat that fully extends to the wrist is necessary.</w:t>
      </w:r>
      <w:r>
        <w:rPr>
          <w:rFonts w:cs="Arial"/>
        </w:rPr>
        <w:t xml:space="preserve"> A chemically-compatible lab coat may be substituted for other types of body protection (e.g. apron, disposable sleeves, etc.) so long as the substituted protection provides similar or better protection to the researcher.</w:t>
      </w:r>
    </w:p>
    <w:p w14:paraId="77832267" w14:textId="77777777" w:rsidR="00FA1113" w:rsidRPr="00661C35" w:rsidRDefault="00FA1113" w:rsidP="00FA1113">
      <w:pPr>
        <w:pStyle w:val="ListParagraph"/>
        <w:numPr>
          <w:ilvl w:val="0"/>
          <w:numId w:val="45"/>
        </w:numPr>
        <w:tabs>
          <w:tab w:val="left" w:pos="-1440"/>
          <w:tab w:val="left" w:pos="-720"/>
          <w:tab w:val="left" w:pos="0"/>
          <w:tab w:val="left" w:pos="360"/>
          <w:tab w:val="left" w:pos="1122"/>
          <w:tab w:val="left" w:pos="1440"/>
          <w:tab w:val="left" w:pos="2160"/>
        </w:tabs>
        <w:suppressAutoHyphens/>
        <w:rPr>
          <w:rFonts w:cs="Arial"/>
        </w:rPr>
      </w:pPr>
      <w:r w:rsidRPr="00661C35">
        <w:rPr>
          <w:rFonts w:cs="Arial"/>
        </w:rPr>
        <w:t>If a risk of fire exists, a flame-resistant laboratory coat that is NFPA 2112-compliant should be worn.</w:t>
      </w:r>
    </w:p>
    <w:p w14:paraId="7CCBC0C6" w14:textId="77777777" w:rsidR="00FA1113" w:rsidRPr="00661C35" w:rsidRDefault="00FA1113" w:rsidP="00FA1113">
      <w:pPr>
        <w:pStyle w:val="ListParagraph"/>
        <w:numPr>
          <w:ilvl w:val="0"/>
          <w:numId w:val="45"/>
        </w:numPr>
        <w:tabs>
          <w:tab w:val="left" w:pos="-1440"/>
          <w:tab w:val="left" w:pos="-720"/>
          <w:tab w:val="left" w:pos="0"/>
          <w:tab w:val="left" w:pos="360"/>
          <w:tab w:val="left" w:pos="1122"/>
          <w:tab w:val="left" w:pos="1440"/>
          <w:tab w:val="left" w:pos="2160"/>
        </w:tabs>
        <w:suppressAutoHyphens/>
        <w:spacing w:after="120"/>
        <w:rPr>
          <w:rFonts w:cs="Arial"/>
        </w:rPr>
      </w:pPr>
      <w:r w:rsidRPr="00661C35">
        <w:rPr>
          <w:rFonts w:cs="Arial"/>
        </w:rPr>
        <w:lastRenderedPageBreak/>
        <w:t>For chemicals that are corrosive and/or toxic by skin contact/absorption additional protective clothing (e.g. face shield, chemically-resistant apron, disposable sleeves, etc.) are required where splashes or skin contact is foreseeable.</w:t>
      </w:r>
    </w:p>
    <w:p w14:paraId="2FAF79C5" w14:textId="77777777" w:rsidR="00FA1113" w:rsidRPr="00204160" w:rsidRDefault="00FA1113" w:rsidP="00FA1113">
      <w:pPr>
        <w:pStyle w:val="ListParagraph"/>
        <w:numPr>
          <w:ilvl w:val="0"/>
          <w:numId w:val="36"/>
        </w:numPr>
        <w:tabs>
          <w:tab w:val="left" w:pos="-1440"/>
          <w:tab w:val="left" w:pos="-720"/>
          <w:tab w:val="left" w:pos="0"/>
          <w:tab w:val="left" w:pos="360"/>
          <w:tab w:val="left" w:pos="1122"/>
          <w:tab w:val="left" w:pos="1440"/>
          <w:tab w:val="left" w:pos="1530"/>
          <w:tab w:val="left" w:pos="2160"/>
        </w:tabs>
        <w:suppressAutoHyphens/>
        <w:rPr>
          <w:rFonts w:cs="Arial"/>
        </w:rPr>
      </w:pPr>
      <w:r w:rsidRPr="00661C35">
        <w:rPr>
          <w:rFonts w:cs="Arial"/>
          <w:b/>
        </w:rPr>
        <w:t xml:space="preserve">Hand </w:t>
      </w:r>
      <w:r w:rsidRPr="00204160">
        <w:rPr>
          <w:rFonts w:cs="Arial"/>
          <w:b/>
        </w:rPr>
        <w:t>Protection</w:t>
      </w:r>
      <w:r w:rsidRPr="00204160">
        <w:rPr>
          <w:rFonts w:cs="Arial"/>
        </w:rPr>
        <w:t xml:space="preserve">: Hand protection is needed for the activities described in this SOP.  Define the type of glove to be used based on: </w:t>
      </w:r>
    </w:p>
    <w:p w14:paraId="79DF4E8F"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 xml:space="preserve">The chemical(s) being used; </w:t>
      </w:r>
    </w:p>
    <w:p w14:paraId="06D5B58B"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 xml:space="preserve">The anticipated chemical contact (e.g. incidental, immersion, etc.); </w:t>
      </w:r>
    </w:p>
    <w:p w14:paraId="4FA2570F"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The manufacturers’ permeation/compatibility data; and</w:t>
      </w:r>
    </w:p>
    <w:p w14:paraId="21F2B1D1" w14:textId="77777777" w:rsidR="00FA1113" w:rsidRPr="00204160" w:rsidRDefault="00FA1113" w:rsidP="00FA1113">
      <w:pPr>
        <w:pStyle w:val="ListParagraph"/>
        <w:numPr>
          <w:ilvl w:val="0"/>
          <w:numId w:val="47"/>
        </w:numPr>
        <w:tabs>
          <w:tab w:val="left" w:pos="-1440"/>
          <w:tab w:val="left" w:pos="-720"/>
          <w:tab w:val="left" w:pos="0"/>
          <w:tab w:val="left" w:pos="360"/>
          <w:tab w:val="left" w:pos="1122"/>
          <w:tab w:val="left" w:pos="1440"/>
          <w:tab w:val="left" w:pos="1530"/>
          <w:tab w:val="left" w:pos="2160"/>
        </w:tabs>
        <w:suppressAutoHyphens/>
        <w:spacing w:after="120"/>
        <w:contextualSpacing/>
        <w:rPr>
          <w:rFonts w:cs="Arial"/>
        </w:rPr>
      </w:pPr>
      <w:r w:rsidRPr="00204160">
        <w:rPr>
          <w:rFonts w:cs="Arial"/>
        </w:rPr>
        <w:t>Whether a combination of different glov</w:t>
      </w:r>
      <w:r>
        <w:rPr>
          <w:rFonts w:cs="Arial"/>
        </w:rPr>
        <w:t>es is needed for a specific procedural step/</w:t>
      </w:r>
      <w:r w:rsidRPr="00204160">
        <w:rPr>
          <w:rFonts w:cs="Arial"/>
        </w:rPr>
        <w:t>task.</w:t>
      </w:r>
    </w:p>
    <w:p w14:paraId="769C70D2" w14:textId="02B6808F" w:rsidR="00FA1113" w:rsidRPr="00D3244B" w:rsidRDefault="00FA1113" w:rsidP="00FA1113">
      <w:pPr>
        <w:tabs>
          <w:tab w:val="left" w:pos="-1440"/>
          <w:tab w:val="left" w:pos="-720"/>
          <w:tab w:val="left" w:pos="408"/>
          <w:tab w:val="left" w:pos="450"/>
          <w:tab w:val="left" w:pos="720"/>
          <w:tab w:val="left" w:pos="990"/>
          <w:tab w:val="left" w:pos="1440"/>
          <w:tab w:val="left" w:pos="1530"/>
        </w:tabs>
        <w:suppressAutoHyphens/>
        <w:spacing w:after="120" w:line="240" w:lineRule="auto"/>
        <w:ind w:left="360"/>
        <w:rPr>
          <w:rFonts w:cs="Arial"/>
          <w:color w:val="002855"/>
        </w:rPr>
      </w:pPr>
      <w:r w:rsidRPr="00530A14">
        <w:rPr>
          <w:rFonts w:cs="Arial"/>
          <w:b/>
          <w:noProof/>
          <w:highlight w:val="yellow"/>
        </w:rPr>
        <w:t>REQUIRED:</w:t>
      </w:r>
      <w:r w:rsidRPr="00D3244B">
        <w:rPr>
          <w:rFonts w:cs="Arial"/>
          <w:noProof/>
          <w:highlight w:val="yellow"/>
        </w:rPr>
        <w:t xml:space="preserve"> Insert lab-specific descriptions of PPE and hygiene practice</w:t>
      </w:r>
      <w:r>
        <w:rPr>
          <w:rFonts w:cs="Arial"/>
          <w:noProof/>
          <w:highlight w:val="yellow"/>
        </w:rPr>
        <w:t>s u</w:t>
      </w:r>
      <w:r w:rsidR="005F762C">
        <w:rPr>
          <w:rFonts w:cs="Arial"/>
          <w:noProof/>
          <w:highlight w:val="yellow"/>
        </w:rPr>
        <w:t>sed with Acutely Toxic Solids and Liquids</w:t>
      </w:r>
      <w:r w:rsidRPr="00D3244B">
        <w:rPr>
          <w:rFonts w:cs="Arial"/>
          <w:noProof/>
          <w:highlight w:val="yellow"/>
        </w:rPr>
        <w:t>, including any specialized PPE needed for a procedural step or specific task.</w:t>
      </w:r>
    </w:p>
    <w:p w14:paraId="2D01468C" w14:textId="4CA9B6A2" w:rsidR="00B56340" w:rsidRPr="005C3B86" w:rsidRDefault="00EB59C4" w:rsidP="001D7460">
      <w:pPr>
        <w:numPr>
          <w:ilvl w:val="0"/>
          <w:numId w:val="1"/>
        </w:numPr>
        <w:spacing w:after="60" w:line="240" w:lineRule="auto"/>
        <w:ind w:left="360" w:hanging="360"/>
        <w:rPr>
          <w:rFonts w:cs="Arial"/>
          <w:b/>
        </w:rPr>
      </w:pPr>
      <w:r>
        <w:rPr>
          <w:rFonts w:cs="Arial"/>
          <w:b/>
        </w:rPr>
        <w:t>SPILL AND EMERGENCY PROCEDURES</w:t>
      </w:r>
    </w:p>
    <w:p w14:paraId="314CE17E" w14:textId="7C274D84" w:rsidR="00C20215" w:rsidRPr="00C20215" w:rsidRDefault="00C20215" w:rsidP="00C202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20215">
        <w:rPr>
          <w:rFonts w:cs="Arial"/>
        </w:rPr>
        <w:t>Do not attempt to clean up a chemical spill unless you have been trained and feel comfortable doing so.  Contact the College Safety Team or Environmental Health &amp; Safety (EH&amp;S), for help with cleaning up a small chemical spill. For a la</w:t>
      </w:r>
      <w:r w:rsidR="002924F7">
        <w:rPr>
          <w:rFonts w:cs="Arial"/>
        </w:rPr>
        <w:t>rge spill of Acutely Toxic Solids and Liquids</w:t>
      </w:r>
      <w:r w:rsidRPr="00C20215">
        <w:rPr>
          <w:rFonts w:cs="Arial"/>
        </w:rPr>
        <w:t>, confine the spill within the fume hood or room, evacuate everyone from the lab, and call 911 (or 408-924-2222 from a non-campus phone).</w:t>
      </w:r>
    </w:p>
    <w:p w14:paraId="6D736820" w14:textId="77777777" w:rsidR="00C20215" w:rsidRPr="00C20215" w:rsidRDefault="00C20215" w:rsidP="00C20215">
      <w:pPr>
        <w:tabs>
          <w:tab w:val="left" w:pos="-1440"/>
          <w:tab w:val="left" w:pos="-720"/>
          <w:tab w:val="left" w:pos="360"/>
          <w:tab w:val="left" w:pos="408"/>
          <w:tab w:val="left" w:pos="1122"/>
          <w:tab w:val="left" w:pos="1440"/>
          <w:tab w:val="left" w:pos="1530"/>
          <w:tab w:val="left" w:pos="2160"/>
        </w:tabs>
        <w:suppressAutoHyphens/>
        <w:spacing w:after="120" w:line="240" w:lineRule="auto"/>
        <w:ind w:left="360"/>
        <w:rPr>
          <w:rFonts w:cs="Arial"/>
        </w:rPr>
      </w:pPr>
      <w:r w:rsidRPr="00C20215">
        <w:rPr>
          <w:rFonts w:cs="Arial"/>
        </w:rPr>
        <w:t>For spills of solid materials, DO NOT dry sweep.</w:t>
      </w:r>
    </w:p>
    <w:p w14:paraId="7F6E8D28" w14:textId="6E6DA464" w:rsidR="00C20215" w:rsidRPr="00C20215" w:rsidRDefault="00C20215" w:rsidP="00C20215">
      <w:pPr>
        <w:tabs>
          <w:tab w:val="left" w:pos="-1440"/>
          <w:tab w:val="left" w:pos="-720"/>
          <w:tab w:val="left" w:pos="360"/>
          <w:tab w:val="left" w:pos="408"/>
          <w:tab w:val="left" w:pos="1122"/>
          <w:tab w:val="left" w:pos="1440"/>
          <w:tab w:val="left" w:pos="1530"/>
          <w:tab w:val="left" w:pos="2160"/>
        </w:tabs>
        <w:suppressAutoHyphens/>
        <w:spacing w:after="120" w:line="240" w:lineRule="auto"/>
        <w:ind w:left="360"/>
        <w:rPr>
          <w:rFonts w:cs="Arial"/>
          <w:highlight w:val="yellow"/>
        </w:rPr>
      </w:pPr>
      <w:r w:rsidRPr="00530A14">
        <w:rPr>
          <w:rFonts w:cs="Arial"/>
          <w:b/>
          <w:highlight w:val="yellow"/>
        </w:rPr>
        <w:t>REQUIRED:</w:t>
      </w:r>
      <w:r w:rsidRPr="00C20215">
        <w:rPr>
          <w:rFonts w:cs="Arial"/>
          <w:highlight w:val="yellow"/>
        </w:rPr>
        <w:t xml:space="preserve"> Insert description of who to call in case of </w:t>
      </w:r>
      <w:r>
        <w:rPr>
          <w:rFonts w:cs="Arial"/>
          <w:highlight w:val="yellow"/>
        </w:rPr>
        <w:t>A</w:t>
      </w:r>
      <w:r w:rsidR="002924F7">
        <w:rPr>
          <w:rFonts w:cs="Arial"/>
          <w:highlight w:val="yellow"/>
        </w:rPr>
        <w:t>cutely Toxic Solid or Liquid</w:t>
      </w:r>
      <w:r w:rsidRPr="00C20215">
        <w:rPr>
          <w:rFonts w:cs="Arial"/>
          <w:highlight w:val="yellow"/>
        </w:rPr>
        <w:t xml:space="preserve"> spill in the lab. </w:t>
      </w:r>
    </w:p>
    <w:p w14:paraId="765C2CB6" w14:textId="65A0C5BE" w:rsidR="00EB59C4" w:rsidRDefault="00EB59C4" w:rsidP="001D7460">
      <w:pPr>
        <w:numPr>
          <w:ilvl w:val="0"/>
          <w:numId w:val="1"/>
        </w:numPr>
        <w:spacing w:after="60" w:line="240" w:lineRule="auto"/>
        <w:ind w:left="360" w:hanging="360"/>
        <w:rPr>
          <w:rFonts w:cs="Arial"/>
          <w:b/>
        </w:rPr>
      </w:pPr>
      <w:r>
        <w:rPr>
          <w:rFonts w:cs="Arial"/>
          <w:b/>
        </w:rPr>
        <w:t>WASTE MANAGEMENT</w:t>
      </w:r>
      <w:r w:rsidR="00413433">
        <w:rPr>
          <w:rFonts w:cs="Arial"/>
          <w:b/>
        </w:rPr>
        <w:t xml:space="preserve"> AND DECONTAMINATION</w:t>
      </w:r>
    </w:p>
    <w:p w14:paraId="243A8C66" w14:textId="77777777" w:rsidR="00C20215" w:rsidRPr="00C20215" w:rsidRDefault="00C20215" w:rsidP="00C202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sidRPr="00C20215">
        <w:rPr>
          <w:rFonts w:cs="Arial"/>
          <w:b/>
        </w:rPr>
        <w:t>Waste Management:</w:t>
      </w:r>
    </w:p>
    <w:p w14:paraId="462B308A" w14:textId="50EDC56D" w:rsidR="002E4E02" w:rsidRDefault="00C20215" w:rsidP="00C202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20215">
        <w:rPr>
          <w:rFonts w:cs="Arial"/>
        </w:rPr>
        <w:t xml:space="preserve">Hazardous waste must be managed as outlined in </w:t>
      </w:r>
      <w:hyperlink r:id="rId12" w:history="1">
        <w:r w:rsidRPr="00C20215">
          <w:rPr>
            <w:rStyle w:val="Hyperlink"/>
            <w:rFonts w:cs="Arial"/>
          </w:rPr>
          <w:t>SJSU’s Chemical Hygiene Plan</w:t>
        </w:r>
      </w:hyperlink>
      <w:r w:rsidRPr="00C20215">
        <w:rPr>
          <w:rStyle w:val="Hyperlink"/>
          <w:rFonts w:cs="Arial"/>
          <w:color w:val="auto"/>
          <w:u w:val="none"/>
        </w:rPr>
        <w:t>,</w:t>
      </w:r>
      <w:r w:rsidRPr="00C20215">
        <w:rPr>
          <w:rFonts w:cs="Arial"/>
        </w:rPr>
        <w:t xml:space="preserve"> and must be</w:t>
      </w:r>
      <w:r w:rsidRPr="00C20215">
        <w:rPr>
          <w:rFonts w:cs="Arial"/>
          <w:color w:val="002855"/>
        </w:rPr>
        <w:t xml:space="preserve"> </w:t>
      </w:r>
      <w:hyperlink r:id="rId13" w:history="1">
        <w:r w:rsidRPr="00C20215">
          <w:rPr>
            <w:rStyle w:val="Hyperlink"/>
            <w:rFonts w:cs="Arial"/>
          </w:rPr>
          <w:t>properly labeled</w:t>
        </w:r>
      </w:hyperlink>
      <w:r w:rsidRPr="00C20215">
        <w:rPr>
          <w:rFonts w:cs="Arial"/>
        </w:rPr>
        <w:t xml:space="preserve">. In general, hazardous waste must be removed from your laboratory within nine months of the accumulation start date. </w:t>
      </w:r>
    </w:p>
    <w:p w14:paraId="7528E38B" w14:textId="04F888DA" w:rsidR="00C20215" w:rsidRPr="00C20215" w:rsidRDefault="002E4E02" w:rsidP="00C2021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color w:val="002855"/>
        </w:rPr>
      </w:pPr>
      <w:r>
        <w:rPr>
          <w:rFonts w:cs="Arial"/>
        </w:rPr>
        <w:t>Note that empty chemical containers of many Acutely Toxic Solids and Liquids</w:t>
      </w:r>
      <w:r w:rsidR="00C20215" w:rsidRPr="00C20215">
        <w:rPr>
          <w:rFonts w:cs="Arial"/>
        </w:rPr>
        <w:t xml:space="preserve"> </w:t>
      </w:r>
      <w:r>
        <w:rPr>
          <w:rFonts w:cs="Arial"/>
        </w:rPr>
        <w:t xml:space="preserve">must be disposed of as hazardous waste. Containers that must be managed this way can be identified using the Environmental Protection Agency’s (EPA) </w:t>
      </w:r>
      <w:hyperlink r:id="rId14" w:history="1">
        <w:r w:rsidRPr="002E4E02">
          <w:rPr>
            <w:rStyle w:val="Hyperlink"/>
            <w:rFonts w:cs="Arial"/>
          </w:rPr>
          <w:t>“P-list” of acutely hazardous materials</w:t>
        </w:r>
      </w:hyperlink>
      <w:r>
        <w:rPr>
          <w:rFonts w:cs="Arial"/>
        </w:rPr>
        <w:t xml:space="preserve"> (see pages 59–76).</w:t>
      </w:r>
    </w:p>
    <w:p w14:paraId="3CAE3811" w14:textId="75B4298B" w:rsidR="00C20215" w:rsidRPr="00C20215" w:rsidRDefault="00530A14" w:rsidP="00C20215">
      <w:pPr>
        <w:spacing w:after="120" w:line="240" w:lineRule="auto"/>
        <w:ind w:left="360"/>
        <w:rPr>
          <w:rFonts w:cs="Arial"/>
        </w:rPr>
      </w:pPr>
      <w:r w:rsidRPr="00530A14">
        <w:rPr>
          <w:rFonts w:cs="Arial"/>
          <w:b/>
          <w:highlight w:val="yellow"/>
        </w:rPr>
        <w:t>REQUIRED</w:t>
      </w:r>
      <w:r w:rsidR="00C20215" w:rsidRPr="00530A14">
        <w:rPr>
          <w:rFonts w:cs="Arial"/>
          <w:b/>
          <w:highlight w:val="yellow"/>
        </w:rPr>
        <w:t>:</w:t>
      </w:r>
      <w:r w:rsidR="00C20215" w:rsidRPr="00C20215">
        <w:rPr>
          <w:rFonts w:cs="Arial"/>
          <w:highlight w:val="yellow"/>
        </w:rPr>
        <w:t xml:space="preserve"> Insert description</w:t>
      </w:r>
      <w:r>
        <w:rPr>
          <w:rFonts w:cs="Arial"/>
          <w:highlight w:val="yellow"/>
        </w:rPr>
        <w:t>(</w:t>
      </w:r>
      <w:r w:rsidR="00C20215" w:rsidRPr="00C20215">
        <w:rPr>
          <w:rFonts w:cs="Arial"/>
          <w:highlight w:val="yellow"/>
        </w:rPr>
        <w:t>s</w:t>
      </w:r>
      <w:r>
        <w:rPr>
          <w:rFonts w:cs="Arial"/>
          <w:highlight w:val="yellow"/>
        </w:rPr>
        <w:t>)</w:t>
      </w:r>
      <w:r w:rsidR="00C20215" w:rsidRPr="00C20215">
        <w:rPr>
          <w:rFonts w:cs="Arial"/>
          <w:highlight w:val="yellow"/>
        </w:rPr>
        <w:t xml:space="preserve"> of laboratory-specific information on the waste streams generated, storage location, and any special handling/storage requirements.</w:t>
      </w:r>
    </w:p>
    <w:p w14:paraId="02A9C5A9" w14:textId="77777777" w:rsidR="00C20215" w:rsidRPr="00C20215" w:rsidRDefault="00C20215" w:rsidP="00C20215">
      <w:pPr>
        <w:spacing w:after="120" w:line="240" w:lineRule="auto"/>
        <w:ind w:left="360"/>
        <w:rPr>
          <w:rFonts w:cs="Arial"/>
          <w:b/>
        </w:rPr>
      </w:pPr>
      <w:r w:rsidRPr="00C20215">
        <w:rPr>
          <w:rFonts w:cs="Arial"/>
          <w:b/>
        </w:rPr>
        <w:t>Decontamination:</w:t>
      </w:r>
    </w:p>
    <w:p w14:paraId="3F97B0F4" w14:textId="3129FBB5" w:rsidR="001F6136" w:rsidRPr="00C20215" w:rsidRDefault="001F6136" w:rsidP="001F613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C20215">
        <w:rPr>
          <w:rFonts w:cs="Arial"/>
        </w:rPr>
        <w:t xml:space="preserve">Decontamination procedures vary depending on the material being handled. </w:t>
      </w:r>
      <w:r w:rsidR="005E03AC" w:rsidRPr="00C20215">
        <w:rPr>
          <w:rFonts w:cs="Arial"/>
        </w:rPr>
        <w:t xml:space="preserve"> </w:t>
      </w:r>
      <w:r w:rsidRPr="00C20215">
        <w:rPr>
          <w:rFonts w:cs="Arial"/>
        </w:rPr>
        <w:t xml:space="preserve">The toxicity of some materials can be neutralized with other reagents. </w:t>
      </w:r>
      <w:r w:rsidR="005E03AC" w:rsidRPr="00C20215">
        <w:rPr>
          <w:rFonts w:cs="Arial"/>
        </w:rPr>
        <w:t xml:space="preserve"> </w:t>
      </w:r>
      <w:r w:rsidRPr="00C20215">
        <w:rPr>
          <w:rFonts w:cs="Arial"/>
        </w:rPr>
        <w:t xml:space="preserve">All surfaces </w:t>
      </w:r>
      <w:r w:rsidR="001A3888" w:rsidRPr="00C20215">
        <w:rPr>
          <w:rFonts w:cs="Arial"/>
        </w:rPr>
        <w:t xml:space="preserve">and equipment </w:t>
      </w:r>
      <w:r w:rsidRPr="00C20215">
        <w:rPr>
          <w:rFonts w:cs="Arial"/>
        </w:rPr>
        <w:t>should be wiped with the appropriate cleaning agent following dispensing or handling</w:t>
      </w:r>
      <w:r w:rsidR="001A3888" w:rsidRPr="00C20215">
        <w:rPr>
          <w:rFonts w:cs="Arial"/>
        </w:rPr>
        <w:t xml:space="preserve"> to prevent accumulation of </w:t>
      </w:r>
      <w:r w:rsidR="00447570" w:rsidRPr="00C20215">
        <w:rPr>
          <w:rFonts w:cs="Arial"/>
        </w:rPr>
        <w:t>A</w:t>
      </w:r>
      <w:r w:rsidR="001A3888" w:rsidRPr="00C20215">
        <w:rPr>
          <w:rFonts w:cs="Arial"/>
        </w:rPr>
        <w:t xml:space="preserve">cutely </w:t>
      </w:r>
      <w:r w:rsidR="00447570" w:rsidRPr="00C20215">
        <w:rPr>
          <w:rFonts w:cs="Arial"/>
        </w:rPr>
        <w:t>T</w:t>
      </w:r>
      <w:r w:rsidR="001A3888" w:rsidRPr="00C20215">
        <w:rPr>
          <w:rFonts w:cs="Arial"/>
        </w:rPr>
        <w:t xml:space="preserve">oxic </w:t>
      </w:r>
      <w:r w:rsidR="004F4EA8">
        <w:rPr>
          <w:rFonts w:cs="Arial"/>
        </w:rPr>
        <w:t xml:space="preserve">Solid or Liquid </w:t>
      </w:r>
      <w:r w:rsidR="001A3888" w:rsidRPr="00C20215">
        <w:rPr>
          <w:rFonts w:cs="Arial"/>
        </w:rPr>
        <w:t>chemical residue.</w:t>
      </w:r>
      <w:r w:rsidR="005647F7" w:rsidRPr="00C20215">
        <w:rPr>
          <w:rFonts w:cs="Arial"/>
        </w:rPr>
        <w:t xml:space="preserve"> </w:t>
      </w:r>
      <w:r w:rsidR="005E03AC" w:rsidRPr="00C20215">
        <w:rPr>
          <w:rFonts w:cs="Arial"/>
        </w:rPr>
        <w:t xml:space="preserve"> </w:t>
      </w:r>
      <w:r w:rsidRPr="00C20215">
        <w:rPr>
          <w:rFonts w:cs="Arial"/>
        </w:rPr>
        <w:t>Decontaminate vacuum pumps or other contaminated equipment before removin</w:t>
      </w:r>
      <w:r w:rsidR="005647F7" w:rsidRPr="00C20215">
        <w:rPr>
          <w:rFonts w:cs="Arial"/>
        </w:rPr>
        <w:t>g them from the designated area.</w:t>
      </w:r>
      <w:r w:rsidR="00C93A8D" w:rsidRPr="00C20215">
        <w:rPr>
          <w:rFonts w:cs="Arial"/>
        </w:rPr>
        <w:t xml:space="preserve">  </w:t>
      </w:r>
    </w:p>
    <w:p w14:paraId="396C584F" w14:textId="73BC44CF" w:rsidR="001F6136" w:rsidRPr="00C20215" w:rsidRDefault="001F6136" w:rsidP="00BB65A7">
      <w:pPr>
        <w:spacing w:after="120" w:line="240" w:lineRule="auto"/>
        <w:ind w:left="360"/>
        <w:rPr>
          <w:rFonts w:cs="Arial"/>
        </w:rPr>
      </w:pPr>
      <w:r w:rsidRPr="00C20215">
        <w:rPr>
          <w:rFonts w:cs="Arial"/>
        </w:rPr>
        <w:t xml:space="preserve">Carefully inspect work areas to make sure no </w:t>
      </w:r>
      <w:r w:rsidR="00C93A8D" w:rsidRPr="00C20215">
        <w:rPr>
          <w:rFonts w:cs="Arial"/>
        </w:rPr>
        <w:t xml:space="preserve">hazardous </w:t>
      </w:r>
      <w:r w:rsidRPr="00C20215">
        <w:rPr>
          <w:rFonts w:cs="Arial"/>
        </w:rPr>
        <w:t xml:space="preserve">materials remain. </w:t>
      </w:r>
      <w:r w:rsidR="005E03AC" w:rsidRPr="00C20215">
        <w:rPr>
          <w:rFonts w:cs="Arial"/>
        </w:rPr>
        <w:t xml:space="preserve"> </w:t>
      </w:r>
      <w:r w:rsidRPr="00C20215">
        <w:rPr>
          <w:rFonts w:cs="Arial"/>
        </w:rPr>
        <w:t xml:space="preserve">Clean contaminated work areas with an appropriate cleaning </w:t>
      </w:r>
      <w:r w:rsidR="00C93A8D" w:rsidRPr="00C20215">
        <w:rPr>
          <w:rFonts w:cs="Arial"/>
        </w:rPr>
        <w:t xml:space="preserve">agent, and dispose </w:t>
      </w:r>
      <w:r w:rsidR="007E6636" w:rsidRPr="00C20215">
        <w:rPr>
          <w:rFonts w:cs="Arial"/>
        </w:rPr>
        <w:t xml:space="preserve">of cleaning materials </w:t>
      </w:r>
      <w:r w:rsidR="00C93A8D" w:rsidRPr="00C20215">
        <w:rPr>
          <w:rFonts w:cs="Arial"/>
        </w:rPr>
        <w:t>properly</w:t>
      </w:r>
      <w:r w:rsidRPr="00C20215">
        <w:rPr>
          <w:rFonts w:cs="Arial"/>
        </w:rPr>
        <w:t xml:space="preserve">. </w:t>
      </w:r>
      <w:r w:rsidR="00B3423D" w:rsidRPr="00C20215">
        <w:rPr>
          <w:rFonts w:cs="Arial"/>
        </w:rPr>
        <w:t xml:space="preserve"> </w:t>
      </w:r>
      <w:r w:rsidRPr="00C20215">
        <w:rPr>
          <w:rFonts w:cs="Arial"/>
        </w:rPr>
        <w:t>Be sure all ignition sources are secured before beginning clean up with flammable liquids.</w:t>
      </w:r>
    </w:p>
    <w:p w14:paraId="2D7D4B8C" w14:textId="77777777" w:rsidR="00C20215" w:rsidRPr="00EB7723" w:rsidRDefault="00C20215" w:rsidP="00C20215">
      <w:pPr>
        <w:spacing w:after="120" w:line="240" w:lineRule="auto"/>
        <w:ind w:left="360"/>
        <w:rPr>
          <w:rFonts w:cs="Arial"/>
        </w:rPr>
      </w:pPr>
      <w:r w:rsidRPr="00530A14">
        <w:rPr>
          <w:rFonts w:cs="Arial"/>
          <w:b/>
          <w:highlight w:val="yellow"/>
        </w:rPr>
        <w:t>REQUIRED:</w:t>
      </w:r>
      <w:r w:rsidRPr="00EB7723">
        <w:rPr>
          <w:rFonts w:cs="Arial"/>
          <w:highlight w:val="yellow"/>
        </w:rPr>
        <w:t xml:space="preserve"> Insert description(s) of decontamination procedures for equipment, glassware, and/or controlled areas (e.g. gloveboxes, restricted access hoods, or designated portions of the laboratory).</w:t>
      </w:r>
    </w:p>
    <w:p w14:paraId="20227897" w14:textId="6AF6649C" w:rsidR="005E03AC" w:rsidRPr="00EB7723" w:rsidRDefault="005E03AC" w:rsidP="00BA1C6E">
      <w:pPr>
        <w:spacing w:after="180" w:line="240" w:lineRule="auto"/>
        <w:ind w:left="360"/>
        <w:rPr>
          <w:rFonts w:cs="Arial"/>
        </w:rPr>
      </w:pPr>
      <w:r w:rsidRPr="00EB7723">
        <w:rPr>
          <w:rFonts w:cs="Arial"/>
        </w:rPr>
        <w:lastRenderedPageBreak/>
        <w:t xml:space="preserve">Upon completion of work with </w:t>
      </w:r>
      <w:r w:rsidR="004F4EA8">
        <w:rPr>
          <w:rFonts w:cs="Arial"/>
        </w:rPr>
        <w:t>Acutely Toxic Solids or Liquids</w:t>
      </w:r>
      <w:r w:rsidRPr="00EB7723">
        <w:rPr>
          <w:rFonts w:cs="Arial"/>
        </w:rPr>
        <w:t xml:space="preserve"> and/or decontamination of equipment, remove gloves </w:t>
      </w:r>
      <w:r w:rsidR="005B0E63" w:rsidRPr="00EB7723">
        <w:rPr>
          <w:rFonts w:cs="Arial"/>
        </w:rPr>
        <w:t xml:space="preserve">and/or PPE </w:t>
      </w:r>
      <w:r w:rsidR="00E82D75" w:rsidRPr="00EB7723">
        <w:rPr>
          <w:rFonts w:cs="Arial"/>
        </w:rPr>
        <w:t xml:space="preserve">to </w:t>
      </w:r>
      <w:r w:rsidRPr="00EB7723">
        <w:rPr>
          <w:rFonts w:cs="Arial"/>
        </w:rPr>
        <w:t xml:space="preserve">wash hands and arms with soap and water.  Additionally, upon leaving a designated </w:t>
      </w:r>
      <w:r w:rsidR="004F4EA8">
        <w:rPr>
          <w:rFonts w:cs="Arial"/>
        </w:rPr>
        <w:t>Acutely Toxic Solids and Liquids</w:t>
      </w:r>
      <w:r w:rsidRPr="00EB7723">
        <w:rPr>
          <w:rFonts w:cs="Arial"/>
        </w:rPr>
        <w:t xml:space="preserve"> work area rem</w:t>
      </w:r>
      <w:r w:rsidR="00EB7723" w:rsidRPr="00EB7723">
        <w:rPr>
          <w:rFonts w:cs="Arial"/>
        </w:rPr>
        <w:t>ove all PPE worn and wash hands and</w:t>
      </w:r>
      <w:r w:rsidRPr="00EB7723">
        <w:rPr>
          <w:rFonts w:cs="Arial"/>
        </w:rPr>
        <w:t xml:space="preserve"> </w:t>
      </w:r>
      <w:r w:rsidR="00EB7723" w:rsidRPr="00EB7723">
        <w:rPr>
          <w:rFonts w:cs="Arial"/>
        </w:rPr>
        <w:t xml:space="preserve">forearms </w:t>
      </w:r>
      <w:r w:rsidR="0017551B" w:rsidRPr="00EB7723">
        <w:rPr>
          <w:rFonts w:cs="Arial"/>
        </w:rPr>
        <w:t>as needed</w:t>
      </w:r>
      <w:r w:rsidRPr="00EB7723">
        <w:rPr>
          <w:rFonts w:cs="Arial"/>
        </w:rPr>
        <w:t>.</w:t>
      </w:r>
      <w:r w:rsidR="00663985" w:rsidRPr="00EB7723">
        <w:rPr>
          <w:rFonts w:cs="Arial"/>
        </w:rPr>
        <w:t xml:space="preserve">  </w:t>
      </w:r>
      <w:r w:rsidR="00663985" w:rsidRPr="00EB7723">
        <w:t>Contaminated clothing or PPE should not be worn outside the lab.  Soiled lab coats should be sent for professional laundering.  Grossly contaminated clothing/PPE and disp</w:t>
      </w:r>
      <w:r w:rsidR="00EB7723" w:rsidRPr="00EB7723">
        <w:t>osable gloves must disposed of as hazardous waste</w:t>
      </w:r>
      <w:r w:rsidR="00663985" w:rsidRPr="00EB7723">
        <w:t>.</w:t>
      </w:r>
    </w:p>
    <w:p w14:paraId="657909DA" w14:textId="77777777" w:rsidR="008258B2" w:rsidRDefault="008258B2" w:rsidP="001D7460">
      <w:pPr>
        <w:numPr>
          <w:ilvl w:val="0"/>
          <w:numId w:val="1"/>
        </w:numPr>
        <w:spacing w:after="60" w:line="240" w:lineRule="auto"/>
        <w:ind w:left="360" w:hanging="360"/>
        <w:rPr>
          <w:rFonts w:cs="Arial"/>
          <w:b/>
        </w:rPr>
      </w:pPr>
      <w:r w:rsidRPr="005C3B86">
        <w:rPr>
          <w:rFonts w:cs="Arial"/>
          <w:b/>
        </w:rPr>
        <w:t>DESIGNATED AREA</w:t>
      </w:r>
    </w:p>
    <w:p w14:paraId="24AA36EC" w14:textId="0ACD171A" w:rsidR="00EB7723" w:rsidRPr="00EB7723" w:rsidRDefault="00EB7723" w:rsidP="00EB7723">
      <w:pPr>
        <w:spacing w:after="120" w:line="240" w:lineRule="auto"/>
        <w:ind w:left="360"/>
        <w:rPr>
          <w:rFonts w:cs="Arial"/>
          <w:color w:val="002855"/>
        </w:rPr>
      </w:pPr>
      <w:r w:rsidRPr="00EB7723">
        <w:rPr>
          <w:rFonts w:cs="Arial"/>
        </w:rPr>
        <w:t xml:space="preserve">Designated area(s) for the use and storage of </w:t>
      </w:r>
      <w:r>
        <w:rPr>
          <w:rFonts w:cs="Arial"/>
        </w:rPr>
        <w:t>A</w:t>
      </w:r>
      <w:r w:rsidR="004F4EA8">
        <w:rPr>
          <w:rFonts w:cs="Arial"/>
        </w:rPr>
        <w:t>cutely Toxic Solids and Liquids</w:t>
      </w:r>
      <w:r w:rsidRPr="00EB7723">
        <w:rPr>
          <w:rFonts w:cs="Arial"/>
        </w:rPr>
        <w:t xml:space="preserve"> shall be established</w:t>
      </w:r>
      <w:r w:rsidRPr="00B53D1D">
        <w:t xml:space="preserve"> </w:t>
      </w:r>
      <w:r w:rsidRPr="00EB7723">
        <w:rPr>
          <w:rFonts w:cs="Arial"/>
        </w:rPr>
        <w:t xml:space="preserve">where limited access, special procedures, knowledge, and work skills are required.  Signage indicating the corresponding </w:t>
      </w:r>
      <w:hyperlink r:id="rId15" w:history="1">
        <w:r w:rsidRPr="00EB7723">
          <w:rPr>
            <w:rStyle w:val="Hyperlink"/>
            <w:rFonts w:cs="Arial"/>
          </w:rPr>
          <w:t>Globally Harmonized System (GHS) pictogram(s)</w:t>
        </w:r>
      </w:hyperlink>
      <w:r w:rsidRPr="00EB7723">
        <w:rPr>
          <w:rFonts w:cs="Arial"/>
        </w:rPr>
        <w:t xml:space="preserve"> should be visible at the entrance of the designated area (e.g. postings on the exterior of the laboratory door). </w:t>
      </w:r>
    </w:p>
    <w:p w14:paraId="3109CA69" w14:textId="372A3BE5" w:rsidR="00EB7723" w:rsidRPr="00EB7723" w:rsidRDefault="00EB7723" w:rsidP="00EB7723">
      <w:pPr>
        <w:spacing w:after="120" w:line="240" w:lineRule="auto"/>
        <w:ind w:left="360"/>
        <w:rPr>
          <w:rFonts w:cs="Arial"/>
          <w:color w:val="002855"/>
        </w:rPr>
      </w:pPr>
      <w:r w:rsidRPr="00530A14">
        <w:rPr>
          <w:rFonts w:cs="Arial"/>
          <w:b/>
          <w:highlight w:val="yellow"/>
        </w:rPr>
        <w:t>REQUIRED:</w:t>
      </w:r>
      <w:r w:rsidRPr="00EB7723">
        <w:rPr>
          <w:rFonts w:cs="Arial"/>
          <w:highlight w:val="yellow"/>
        </w:rPr>
        <w:t xml:space="preserve"> Insert description(s</w:t>
      </w:r>
      <w:r w:rsidR="004F4EA8">
        <w:rPr>
          <w:rFonts w:cs="Arial"/>
          <w:highlight w:val="yellow"/>
        </w:rPr>
        <w:t>) of the designated area(s) for Acutely Toxic Solids and Liquids</w:t>
      </w:r>
      <w:r w:rsidRPr="00EB7723">
        <w:rPr>
          <w:rFonts w:cs="Arial"/>
          <w:highlight w:val="yellow"/>
        </w:rPr>
        <w:t xml:space="preserve"> in your laboratory.  The entire laboratory, a portion of the laboratory, a fume hood, etc. can be designated.</w:t>
      </w:r>
    </w:p>
    <w:p w14:paraId="2E4F6E99" w14:textId="512B59DB" w:rsidR="0000698F" w:rsidRDefault="0000698F" w:rsidP="001D7460">
      <w:pPr>
        <w:numPr>
          <w:ilvl w:val="0"/>
          <w:numId w:val="1"/>
        </w:numPr>
        <w:spacing w:after="60" w:line="240" w:lineRule="auto"/>
        <w:ind w:left="360" w:hanging="360"/>
        <w:rPr>
          <w:rFonts w:cs="Arial"/>
          <w:b/>
        </w:rPr>
      </w:pPr>
      <w:r w:rsidRPr="0000698F">
        <w:rPr>
          <w:rFonts w:cs="Arial"/>
          <w:b/>
        </w:rPr>
        <w:t>DETAILED PROTOCOL</w:t>
      </w:r>
    </w:p>
    <w:p w14:paraId="71D06099" w14:textId="7AFE5A01" w:rsidR="00B03B8B" w:rsidRDefault="00EB7723" w:rsidP="00EB7723">
      <w:pPr>
        <w:spacing w:line="240" w:lineRule="auto"/>
        <w:ind w:left="360"/>
        <w:rPr>
          <w:rFonts w:cs="Arial"/>
        </w:rPr>
      </w:pPr>
      <w:r w:rsidRPr="00530A14">
        <w:rPr>
          <w:b/>
          <w:highlight w:val="yellow"/>
        </w:rPr>
        <w:t>REQUIRED:</w:t>
      </w:r>
      <w:r w:rsidRPr="00EB7723">
        <w:rPr>
          <w:highlight w:val="yellow"/>
        </w:rPr>
        <w:t xml:space="preserve"> Insert</w:t>
      </w:r>
      <w:r>
        <w:rPr>
          <w:highlight w:val="yellow"/>
        </w:rPr>
        <w:t xml:space="preserve"> or attach</w:t>
      </w:r>
      <w:r w:rsidRPr="00EB7723">
        <w:rPr>
          <w:highlight w:val="yellow"/>
        </w:rPr>
        <w:t xml:space="preserve"> the lab-specific protocol for the process, hazardous chemical(s), or hazard class described in this SOP. Include any relevant resources such as journal articles, patents, etc. as desired.</w:t>
      </w:r>
      <w:r w:rsidR="00B03B8B">
        <w:rPr>
          <w:rFonts w:cs="Arial"/>
        </w:rPr>
        <w:br w:type="page"/>
      </w:r>
    </w:p>
    <w:p w14:paraId="409CD4C8" w14:textId="0F39ACED" w:rsidR="00323BA7" w:rsidRPr="00B03B8B" w:rsidRDefault="00323BA7" w:rsidP="00323BA7">
      <w:pPr>
        <w:jc w:val="center"/>
      </w:pPr>
      <w:r>
        <w:rPr>
          <w:rFonts w:ascii="Arial" w:eastAsia="Arial" w:hAnsi="Arial" w:cs="Arial"/>
          <w:b/>
          <w:bCs/>
        </w:rPr>
        <w:lastRenderedPageBreak/>
        <w:t xml:space="preserve">TEMPLATE </w:t>
      </w:r>
      <w:r w:rsidRPr="00B03B8B">
        <w:rPr>
          <w:rFonts w:ascii="Arial" w:eastAsia="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710"/>
        <w:gridCol w:w="4770"/>
      </w:tblGrid>
      <w:tr w:rsidR="0014718A" w:rsidRPr="00B03B8B" w14:paraId="7F2511C3" w14:textId="77777777" w:rsidTr="00485963">
        <w:tc>
          <w:tcPr>
            <w:tcW w:w="914" w:type="dxa"/>
            <w:shd w:val="clear" w:color="auto" w:fill="auto"/>
          </w:tcPr>
          <w:p w14:paraId="5B9BC08A" w14:textId="1519B113" w:rsidR="0014718A" w:rsidRPr="0049201C" w:rsidRDefault="0014718A" w:rsidP="0014718A">
            <w:pPr>
              <w:spacing w:after="0" w:line="240" w:lineRule="auto"/>
              <w:rPr>
                <w:sz w:val="20"/>
                <w:szCs w:val="20"/>
              </w:rPr>
            </w:pPr>
            <w:r w:rsidRPr="0049201C">
              <w:rPr>
                <w:rFonts w:eastAsia="Times New Roman"/>
                <w:b/>
                <w:bCs/>
              </w:rPr>
              <w:t>Version</w:t>
            </w:r>
          </w:p>
        </w:tc>
        <w:tc>
          <w:tcPr>
            <w:tcW w:w="1961" w:type="dxa"/>
            <w:shd w:val="clear" w:color="auto" w:fill="auto"/>
          </w:tcPr>
          <w:p w14:paraId="01365DB5" w14:textId="36E8D0DB" w:rsidR="0014718A" w:rsidRPr="0049201C" w:rsidRDefault="00485963" w:rsidP="0014718A">
            <w:pPr>
              <w:spacing w:after="0" w:line="240" w:lineRule="auto"/>
              <w:rPr>
                <w:sz w:val="20"/>
                <w:szCs w:val="20"/>
              </w:rPr>
            </w:pPr>
            <w:r>
              <w:rPr>
                <w:rFonts w:eastAsia="Times New Roman"/>
                <w:b/>
                <w:bCs/>
              </w:rPr>
              <w:t>Date Implemented</w:t>
            </w:r>
          </w:p>
        </w:tc>
        <w:tc>
          <w:tcPr>
            <w:tcW w:w="1710" w:type="dxa"/>
            <w:shd w:val="clear" w:color="auto" w:fill="auto"/>
          </w:tcPr>
          <w:p w14:paraId="1DB587A0" w14:textId="214B6CAC" w:rsidR="0014718A" w:rsidRPr="0049201C" w:rsidRDefault="0014718A" w:rsidP="0014718A">
            <w:pPr>
              <w:spacing w:after="0" w:line="240" w:lineRule="auto"/>
              <w:jc w:val="center"/>
              <w:rPr>
                <w:sz w:val="20"/>
                <w:szCs w:val="20"/>
              </w:rPr>
            </w:pPr>
            <w:r w:rsidRPr="0049201C">
              <w:rPr>
                <w:rFonts w:eastAsia="Times New Roman"/>
                <w:b/>
                <w:bCs/>
              </w:rPr>
              <w:t>Author</w:t>
            </w:r>
          </w:p>
        </w:tc>
        <w:tc>
          <w:tcPr>
            <w:tcW w:w="4770" w:type="dxa"/>
            <w:shd w:val="clear" w:color="auto" w:fill="auto"/>
          </w:tcPr>
          <w:p w14:paraId="5820D8AC" w14:textId="182ECC59" w:rsidR="0014718A" w:rsidRPr="0049201C" w:rsidRDefault="0014718A" w:rsidP="0014718A">
            <w:pPr>
              <w:spacing w:after="0" w:line="240" w:lineRule="auto"/>
              <w:jc w:val="center"/>
              <w:rPr>
                <w:sz w:val="20"/>
                <w:szCs w:val="20"/>
              </w:rPr>
            </w:pPr>
            <w:r w:rsidRPr="0049201C">
              <w:rPr>
                <w:rFonts w:eastAsia="Times New Roman"/>
                <w:b/>
                <w:bCs/>
              </w:rPr>
              <w:t>Revision Notes:</w:t>
            </w:r>
          </w:p>
        </w:tc>
      </w:tr>
      <w:tr w:rsidR="00323BA7" w:rsidRPr="00B03B8B" w14:paraId="33A34B6B" w14:textId="77777777" w:rsidTr="00485963">
        <w:tc>
          <w:tcPr>
            <w:tcW w:w="914" w:type="dxa"/>
            <w:shd w:val="clear" w:color="auto" w:fill="auto"/>
            <w:vAlign w:val="center"/>
          </w:tcPr>
          <w:p w14:paraId="4C27752D" w14:textId="77777777" w:rsidR="00323BA7" w:rsidRPr="0049201C" w:rsidRDefault="00323BA7" w:rsidP="00B4368D">
            <w:pPr>
              <w:spacing w:after="0" w:line="240" w:lineRule="auto"/>
              <w:jc w:val="center"/>
              <w:rPr>
                <w:b/>
                <w:bCs/>
                <w:noProof/>
              </w:rPr>
            </w:pPr>
            <w:r w:rsidRPr="0049201C">
              <w:rPr>
                <w:b/>
                <w:bCs/>
                <w:noProof/>
              </w:rPr>
              <w:t>1.0</w:t>
            </w:r>
          </w:p>
        </w:tc>
        <w:tc>
          <w:tcPr>
            <w:tcW w:w="1961" w:type="dxa"/>
            <w:shd w:val="clear" w:color="auto" w:fill="auto"/>
            <w:vAlign w:val="center"/>
          </w:tcPr>
          <w:p w14:paraId="20C72B9F" w14:textId="33651FBC" w:rsidR="00323BA7" w:rsidRPr="0049201C" w:rsidRDefault="00A857B0" w:rsidP="00B4368D">
            <w:pPr>
              <w:spacing w:after="0" w:line="240" w:lineRule="auto"/>
              <w:jc w:val="center"/>
              <w:rPr>
                <w:b/>
                <w:bCs/>
                <w:noProof/>
              </w:rPr>
            </w:pPr>
            <w:r>
              <w:rPr>
                <w:b/>
                <w:bCs/>
                <w:noProof/>
              </w:rPr>
              <w:t>4/3/2020</w:t>
            </w:r>
          </w:p>
        </w:tc>
        <w:tc>
          <w:tcPr>
            <w:tcW w:w="1710" w:type="dxa"/>
            <w:shd w:val="clear" w:color="auto" w:fill="auto"/>
            <w:vAlign w:val="center"/>
          </w:tcPr>
          <w:p w14:paraId="13E1384C" w14:textId="4E5B3D80" w:rsidR="00323BA7" w:rsidRPr="0049201C" w:rsidRDefault="00485963" w:rsidP="00B4368D">
            <w:pPr>
              <w:spacing w:after="0" w:line="240" w:lineRule="auto"/>
              <w:jc w:val="center"/>
              <w:rPr>
                <w:b/>
                <w:bCs/>
                <w:noProof/>
              </w:rPr>
            </w:pPr>
            <w:r>
              <w:rPr>
                <w:b/>
                <w:bCs/>
                <w:noProof/>
              </w:rPr>
              <w:t>Alexi Ball-Jones</w:t>
            </w:r>
          </w:p>
        </w:tc>
        <w:tc>
          <w:tcPr>
            <w:tcW w:w="4770" w:type="dxa"/>
            <w:shd w:val="clear" w:color="auto" w:fill="auto"/>
          </w:tcPr>
          <w:p w14:paraId="423984AA" w14:textId="77777777" w:rsidR="00323BA7" w:rsidRPr="0049201C" w:rsidRDefault="00323BA7" w:rsidP="00F358F1">
            <w:pPr>
              <w:spacing w:after="0" w:line="240" w:lineRule="auto"/>
              <w:rPr>
                <w:b/>
                <w:bCs/>
                <w:noProof/>
              </w:rPr>
            </w:pPr>
            <w:r w:rsidRPr="0049201C">
              <w:rPr>
                <w:b/>
                <w:bCs/>
                <w:noProof/>
              </w:rPr>
              <w:t>New template</w:t>
            </w:r>
          </w:p>
        </w:tc>
      </w:tr>
      <w:tr w:rsidR="00323BA7" w:rsidRPr="00B03B8B" w14:paraId="5377DEA1" w14:textId="77777777" w:rsidTr="00485963">
        <w:tc>
          <w:tcPr>
            <w:tcW w:w="914" w:type="dxa"/>
            <w:shd w:val="clear" w:color="auto" w:fill="auto"/>
            <w:vAlign w:val="center"/>
          </w:tcPr>
          <w:p w14:paraId="0376EDE2" w14:textId="78A6BAA0" w:rsidR="00323BA7" w:rsidRPr="0049201C" w:rsidRDefault="00E321A5" w:rsidP="00B4368D">
            <w:pPr>
              <w:spacing w:after="0" w:line="240" w:lineRule="auto"/>
              <w:jc w:val="center"/>
              <w:rPr>
                <w:b/>
                <w:bCs/>
                <w:noProof/>
              </w:rPr>
            </w:pPr>
            <w:r>
              <w:rPr>
                <w:b/>
                <w:bCs/>
                <w:noProof/>
              </w:rPr>
              <w:t>1.1</w:t>
            </w:r>
          </w:p>
        </w:tc>
        <w:tc>
          <w:tcPr>
            <w:tcW w:w="1961" w:type="dxa"/>
            <w:shd w:val="clear" w:color="auto" w:fill="auto"/>
            <w:vAlign w:val="center"/>
          </w:tcPr>
          <w:p w14:paraId="04909E11" w14:textId="68C5B62C" w:rsidR="00323BA7" w:rsidRPr="0049201C" w:rsidRDefault="00E321A5" w:rsidP="00EB7723">
            <w:pPr>
              <w:spacing w:after="0" w:line="240" w:lineRule="auto"/>
              <w:jc w:val="center"/>
              <w:rPr>
                <w:b/>
                <w:bCs/>
                <w:noProof/>
              </w:rPr>
            </w:pPr>
            <w:r>
              <w:rPr>
                <w:b/>
                <w:bCs/>
                <w:noProof/>
              </w:rPr>
              <w:t>10/27/2020</w:t>
            </w:r>
          </w:p>
        </w:tc>
        <w:tc>
          <w:tcPr>
            <w:tcW w:w="1710" w:type="dxa"/>
            <w:shd w:val="clear" w:color="auto" w:fill="auto"/>
            <w:vAlign w:val="center"/>
          </w:tcPr>
          <w:p w14:paraId="3B0CB709" w14:textId="366D0335" w:rsidR="00323BA7" w:rsidRPr="0049201C" w:rsidRDefault="00E321A5" w:rsidP="00B4368D">
            <w:pPr>
              <w:spacing w:after="0" w:line="240" w:lineRule="auto"/>
              <w:jc w:val="center"/>
              <w:rPr>
                <w:b/>
                <w:bCs/>
                <w:noProof/>
              </w:rPr>
            </w:pPr>
            <w:r>
              <w:rPr>
                <w:b/>
                <w:bCs/>
                <w:noProof/>
              </w:rPr>
              <w:t>Alexi Ball-Jones</w:t>
            </w:r>
          </w:p>
        </w:tc>
        <w:tc>
          <w:tcPr>
            <w:tcW w:w="4770" w:type="dxa"/>
            <w:shd w:val="clear" w:color="auto" w:fill="auto"/>
          </w:tcPr>
          <w:p w14:paraId="71D6AB55" w14:textId="79E46278" w:rsidR="00323BA7" w:rsidRPr="0049201C" w:rsidRDefault="00E321A5" w:rsidP="00F358F1">
            <w:pPr>
              <w:spacing w:after="0" w:line="240" w:lineRule="auto"/>
              <w:rPr>
                <w:b/>
                <w:bCs/>
                <w:noProof/>
              </w:rPr>
            </w:pPr>
            <w:r>
              <w:rPr>
                <w:b/>
                <w:bCs/>
                <w:noProof/>
              </w:rPr>
              <w:t>Updated links</w:t>
            </w:r>
          </w:p>
        </w:tc>
      </w:tr>
      <w:tr w:rsidR="00680E7E" w:rsidRPr="00B03B8B" w14:paraId="3C560DCE" w14:textId="77777777" w:rsidTr="00485963">
        <w:tc>
          <w:tcPr>
            <w:tcW w:w="914" w:type="dxa"/>
            <w:shd w:val="clear" w:color="auto" w:fill="auto"/>
            <w:vAlign w:val="center"/>
          </w:tcPr>
          <w:p w14:paraId="3B0C0714" w14:textId="05853EB6" w:rsidR="00680E7E" w:rsidRPr="0049201C" w:rsidRDefault="00BB1482" w:rsidP="00B4368D">
            <w:pPr>
              <w:spacing w:after="0" w:line="240" w:lineRule="auto"/>
              <w:jc w:val="center"/>
              <w:rPr>
                <w:b/>
                <w:bCs/>
                <w:noProof/>
              </w:rPr>
            </w:pPr>
            <w:r>
              <w:rPr>
                <w:b/>
                <w:bCs/>
                <w:noProof/>
              </w:rPr>
              <w:t>1.2</w:t>
            </w:r>
          </w:p>
        </w:tc>
        <w:tc>
          <w:tcPr>
            <w:tcW w:w="1961" w:type="dxa"/>
            <w:shd w:val="clear" w:color="auto" w:fill="auto"/>
            <w:vAlign w:val="center"/>
          </w:tcPr>
          <w:p w14:paraId="57786634" w14:textId="695E1F13" w:rsidR="00680E7E" w:rsidRPr="0049201C" w:rsidRDefault="00BB1482" w:rsidP="00EB7723">
            <w:pPr>
              <w:spacing w:after="0" w:line="240" w:lineRule="auto"/>
              <w:jc w:val="center"/>
              <w:rPr>
                <w:b/>
                <w:bCs/>
                <w:noProof/>
              </w:rPr>
            </w:pPr>
            <w:r>
              <w:rPr>
                <w:b/>
                <w:bCs/>
                <w:noProof/>
              </w:rPr>
              <w:t>5/11/2021</w:t>
            </w:r>
          </w:p>
        </w:tc>
        <w:tc>
          <w:tcPr>
            <w:tcW w:w="1710" w:type="dxa"/>
            <w:shd w:val="clear" w:color="auto" w:fill="auto"/>
            <w:vAlign w:val="center"/>
          </w:tcPr>
          <w:p w14:paraId="40F5ADDC" w14:textId="729EAB22" w:rsidR="00680E7E" w:rsidRPr="0049201C" w:rsidRDefault="00BB1482" w:rsidP="00B4368D">
            <w:pPr>
              <w:spacing w:after="0" w:line="240" w:lineRule="auto"/>
              <w:jc w:val="center"/>
              <w:rPr>
                <w:b/>
                <w:bCs/>
                <w:noProof/>
              </w:rPr>
            </w:pPr>
            <w:r>
              <w:rPr>
                <w:b/>
                <w:bCs/>
                <w:noProof/>
              </w:rPr>
              <w:t>Alexi Ball-Jones</w:t>
            </w:r>
          </w:p>
        </w:tc>
        <w:tc>
          <w:tcPr>
            <w:tcW w:w="4770" w:type="dxa"/>
            <w:shd w:val="clear" w:color="auto" w:fill="auto"/>
          </w:tcPr>
          <w:p w14:paraId="2C1BAA03" w14:textId="4D1D9947" w:rsidR="00680E7E" w:rsidRPr="0049201C" w:rsidRDefault="00BB1482" w:rsidP="00F358F1">
            <w:pPr>
              <w:spacing w:after="0" w:line="240" w:lineRule="auto"/>
              <w:rPr>
                <w:b/>
                <w:bCs/>
                <w:noProof/>
              </w:rPr>
            </w:pPr>
            <w:r>
              <w:rPr>
                <w:b/>
                <w:bCs/>
                <w:noProof/>
              </w:rPr>
              <w:t xml:space="preserve">Added </w:t>
            </w:r>
            <w:hyperlink r:id="rId16" w:history="1">
              <w:r w:rsidRPr="0050598F">
                <w:rPr>
                  <w:rStyle w:val="Hyperlink"/>
                  <w:b/>
                  <w:bCs/>
                  <w:noProof/>
                </w:rPr>
                <w:t>ehs@sjsu.edu</w:t>
              </w:r>
            </w:hyperlink>
            <w:r>
              <w:rPr>
                <w:b/>
                <w:bCs/>
                <w:noProof/>
              </w:rPr>
              <w:t xml:space="preserve"> link</w:t>
            </w:r>
          </w:p>
        </w:tc>
      </w:tr>
      <w:tr w:rsidR="007B2FF6" w:rsidRPr="00B03B8B" w14:paraId="5AAD7654" w14:textId="77777777" w:rsidTr="00485963">
        <w:tc>
          <w:tcPr>
            <w:tcW w:w="914" w:type="dxa"/>
            <w:shd w:val="clear" w:color="auto" w:fill="auto"/>
            <w:vAlign w:val="center"/>
          </w:tcPr>
          <w:p w14:paraId="2B01360C" w14:textId="75A213A5" w:rsidR="007B2FF6" w:rsidRPr="0049201C" w:rsidRDefault="007B2FF6" w:rsidP="007B2FF6">
            <w:pPr>
              <w:spacing w:after="0" w:line="240" w:lineRule="auto"/>
              <w:jc w:val="center"/>
              <w:rPr>
                <w:b/>
                <w:bCs/>
                <w:noProof/>
              </w:rPr>
            </w:pPr>
          </w:p>
        </w:tc>
        <w:tc>
          <w:tcPr>
            <w:tcW w:w="1961" w:type="dxa"/>
            <w:shd w:val="clear" w:color="auto" w:fill="auto"/>
            <w:vAlign w:val="center"/>
          </w:tcPr>
          <w:p w14:paraId="68833789" w14:textId="2D984408" w:rsidR="007B2FF6" w:rsidRPr="0049201C" w:rsidRDefault="007B2FF6" w:rsidP="007B2FF6">
            <w:pPr>
              <w:spacing w:after="0" w:line="240" w:lineRule="auto"/>
              <w:jc w:val="center"/>
              <w:rPr>
                <w:b/>
                <w:bCs/>
                <w:noProof/>
              </w:rPr>
            </w:pPr>
          </w:p>
        </w:tc>
        <w:tc>
          <w:tcPr>
            <w:tcW w:w="1710" w:type="dxa"/>
            <w:shd w:val="clear" w:color="auto" w:fill="auto"/>
            <w:vAlign w:val="center"/>
          </w:tcPr>
          <w:p w14:paraId="0CF6600F" w14:textId="31B54EFA" w:rsidR="007B2FF6" w:rsidRPr="0049201C" w:rsidRDefault="007B2FF6" w:rsidP="007B2FF6">
            <w:pPr>
              <w:spacing w:after="0" w:line="240" w:lineRule="auto"/>
              <w:jc w:val="center"/>
              <w:rPr>
                <w:b/>
                <w:bCs/>
                <w:noProof/>
              </w:rPr>
            </w:pPr>
          </w:p>
        </w:tc>
        <w:tc>
          <w:tcPr>
            <w:tcW w:w="4770" w:type="dxa"/>
            <w:shd w:val="clear" w:color="auto" w:fill="auto"/>
          </w:tcPr>
          <w:p w14:paraId="62CFD865" w14:textId="66BCD041" w:rsidR="007B2FF6" w:rsidRPr="0049201C" w:rsidRDefault="007B2FF6" w:rsidP="007B2FF6">
            <w:pPr>
              <w:spacing w:after="0" w:line="240" w:lineRule="auto"/>
              <w:rPr>
                <w:b/>
                <w:bCs/>
                <w:noProof/>
              </w:rPr>
            </w:pPr>
          </w:p>
        </w:tc>
      </w:tr>
      <w:tr w:rsidR="00891ECC" w:rsidRPr="00B03B8B" w14:paraId="4D3F43B0" w14:textId="77777777" w:rsidTr="00485963">
        <w:tc>
          <w:tcPr>
            <w:tcW w:w="914" w:type="dxa"/>
            <w:shd w:val="clear" w:color="auto" w:fill="auto"/>
            <w:vAlign w:val="center"/>
          </w:tcPr>
          <w:p w14:paraId="1CEE16CD" w14:textId="046A9843" w:rsidR="00891ECC" w:rsidRPr="0049201C" w:rsidRDefault="00891ECC" w:rsidP="00891ECC">
            <w:pPr>
              <w:spacing w:after="0" w:line="240" w:lineRule="auto"/>
              <w:jc w:val="center"/>
              <w:rPr>
                <w:b/>
                <w:bCs/>
                <w:noProof/>
              </w:rPr>
            </w:pPr>
          </w:p>
        </w:tc>
        <w:tc>
          <w:tcPr>
            <w:tcW w:w="1961" w:type="dxa"/>
            <w:shd w:val="clear" w:color="auto" w:fill="auto"/>
            <w:vAlign w:val="center"/>
          </w:tcPr>
          <w:p w14:paraId="74ED86F1" w14:textId="3D975B70" w:rsidR="00891ECC" w:rsidRPr="0049201C" w:rsidRDefault="00891ECC" w:rsidP="00891ECC">
            <w:pPr>
              <w:spacing w:after="0" w:line="240" w:lineRule="auto"/>
              <w:jc w:val="center"/>
              <w:rPr>
                <w:b/>
                <w:bCs/>
                <w:noProof/>
              </w:rPr>
            </w:pPr>
          </w:p>
        </w:tc>
        <w:tc>
          <w:tcPr>
            <w:tcW w:w="1710" w:type="dxa"/>
            <w:shd w:val="clear" w:color="auto" w:fill="auto"/>
            <w:vAlign w:val="center"/>
          </w:tcPr>
          <w:p w14:paraId="575ECEE6" w14:textId="4A8701D1" w:rsidR="00891ECC" w:rsidRPr="0049201C" w:rsidRDefault="00891ECC" w:rsidP="00891ECC">
            <w:pPr>
              <w:spacing w:after="0" w:line="240" w:lineRule="auto"/>
              <w:jc w:val="center"/>
              <w:rPr>
                <w:b/>
                <w:bCs/>
                <w:noProof/>
              </w:rPr>
            </w:pPr>
          </w:p>
        </w:tc>
        <w:tc>
          <w:tcPr>
            <w:tcW w:w="4770" w:type="dxa"/>
            <w:shd w:val="clear" w:color="auto" w:fill="auto"/>
          </w:tcPr>
          <w:p w14:paraId="6B34376D" w14:textId="5770F6EC" w:rsidR="00891ECC" w:rsidRPr="0049201C" w:rsidRDefault="00891ECC" w:rsidP="00891ECC">
            <w:pPr>
              <w:spacing w:after="0" w:line="240" w:lineRule="auto"/>
              <w:rPr>
                <w:b/>
                <w:bCs/>
                <w:noProof/>
              </w:rPr>
            </w:pPr>
          </w:p>
        </w:tc>
      </w:tr>
      <w:tr w:rsidR="00D10BC7" w:rsidRPr="00B03B8B" w14:paraId="1C547EC3" w14:textId="77777777" w:rsidTr="00485963">
        <w:tc>
          <w:tcPr>
            <w:tcW w:w="914" w:type="dxa"/>
            <w:shd w:val="clear" w:color="auto" w:fill="auto"/>
            <w:vAlign w:val="center"/>
          </w:tcPr>
          <w:p w14:paraId="7BBF3394" w14:textId="008E43AF" w:rsidR="00D10BC7" w:rsidRPr="0049201C" w:rsidRDefault="00D10BC7" w:rsidP="00D10BC7">
            <w:pPr>
              <w:spacing w:after="0" w:line="240" w:lineRule="auto"/>
              <w:jc w:val="center"/>
              <w:rPr>
                <w:b/>
                <w:bCs/>
                <w:noProof/>
              </w:rPr>
            </w:pPr>
          </w:p>
        </w:tc>
        <w:tc>
          <w:tcPr>
            <w:tcW w:w="1961" w:type="dxa"/>
            <w:shd w:val="clear" w:color="auto" w:fill="auto"/>
            <w:vAlign w:val="center"/>
          </w:tcPr>
          <w:p w14:paraId="712AA36F" w14:textId="523749C2" w:rsidR="00D10BC7" w:rsidRPr="0049201C" w:rsidRDefault="00D10BC7" w:rsidP="00D10BC7">
            <w:pPr>
              <w:spacing w:after="0" w:line="240" w:lineRule="auto"/>
              <w:jc w:val="center"/>
              <w:rPr>
                <w:b/>
                <w:bCs/>
                <w:noProof/>
              </w:rPr>
            </w:pPr>
          </w:p>
        </w:tc>
        <w:tc>
          <w:tcPr>
            <w:tcW w:w="1710" w:type="dxa"/>
            <w:shd w:val="clear" w:color="auto" w:fill="auto"/>
            <w:vAlign w:val="center"/>
          </w:tcPr>
          <w:p w14:paraId="0BCCBE1B" w14:textId="7F1E4A98" w:rsidR="00D10BC7" w:rsidRPr="0049201C" w:rsidRDefault="00D10BC7" w:rsidP="00D10BC7">
            <w:pPr>
              <w:spacing w:after="0" w:line="240" w:lineRule="auto"/>
              <w:jc w:val="center"/>
              <w:rPr>
                <w:b/>
                <w:bCs/>
                <w:noProof/>
              </w:rPr>
            </w:pPr>
          </w:p>
        </w:tc>
        <w:tc>
          <w:tcPr>
            <w:tcW w:w="4770" w:type="dxa"/>
            <w:shd w:val="clear" w:color="auto" w:fill="auto"/>
          </w:tcPr>
          <w:p w14:paraId="48A5D11F" w14:textId="3FAA70BE" w:rsidR="00D10BC7" w:rsidRPr="0049201C" w:rsidRDefault="00D10BC7" w:rsidP="00D10BC7">
            <w:pPr>
              <w:spacing w:after="0" w:line="240" w:lineRule="auto"/>
              <w:rPr>
                <w:b/>
                <w:bCs/>
                <w:noProof/>
              </w:rPr>
            </w:pPr>
          </w:p>
        </w:tc>
      </w:tr>
    </w:tbl>
    <w:p w14:paraId="0BD390AC" w14:textId="77777777" w:rsidR="00B03B8B" w:rsidRPr="00B03B8B" w:rsidRDefault="00B03B8B" w:rsidP="00B03B8B">
      <w:pPr>
        <w:spacing w:line="240" w:lineRule="auto"/>
        <w:jc w:val="center"/>
        <w:rPr>
          <w:b/>
        </w:rPr>
      </w:pPr>
    </w:p>
    <w:p w14:paraId="73F5DD0B" w14:textId="211EC2CB" w:rsidR="00323BA7" w:rsidRPr="00B03B8B" w:rsidRDefault="00323BA7" w:rsidP="00323BA7">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A857B0" w:rsidRPr="00A857B0" w14:paraId="554D8139" w14:textId="77777777" w:rsidTr="0014718A">
        <w:tc>
          <w:tcPr>
            <w:tcW w:w="1000" w:type="dxa"/>
            <w:shd w:val="clear" w:color="auto" w:fill="auto"/>
            <w:vAlign w:val="center"/>
          </w:tcPr>
          <w:p w14:paraId="3A2DF63E" w14:textId="3BA43244" w:rsidR="0014718A" w:rsidRPr="00A857B0" w:rsidRDefault="0014718A" w:rsidP="0014718A">
            <w:pPr>
              <w:spacing w:after="0" w:line="240" w:lineRule="auto"/>
              <w:jc w:val="center"/>
              <w:rPr>
                <w:sz w:val="20"/>
                <w:szCs w:val="20"/>
              </w:rPr>
            </w:pPr>
            <w:r w:rsidRPr="00A857B0">
              <w:rPr>
                <w:rFonts w:eastAsia="Times New Roman"/>
                <w:b/>
                <w:bCs/>
              </w:rPr>
              <w:t>Version</w:t>
            </w:r>
          </w:p>
        </w:tc>
        <w:tc>
          <w:tcPr>
            <w:tcW w:w="1630" w:type="dxa"/>
            <w:shd w:val="clear" w:color="auto" w:fill="auto"/>
            <w:vAlign w:val="center"/>
          </w:tcPr>
          <w:p w14:paraId="104C7D1F" w14:textId="2CD0A325" w:rsidR="0014718A" w:rsidRPr="00A857B0" w:rsidRDefault="0014718A" w:rsidP="0014718A">
            <w:pPr>
              <w:spacing w:after="0" w:line="240" w:lineRule="auto"/>
              <w:jc w:val="center"/>
              <w:rPr>
                <w:sz w:val="20"/>
                <w:szCs w:val="20"/>
              </w:rPr>
            </w:pPr>
            <w:r w:rsidRPr="00A857B0">
              <w:rPr>
                <w:rFonts w:eastAsia="Times New Roman"/>
                <w:b/>
                <w:bCs/>
              </w:rPr>
              <w:t>Date Approved</w:t>
            </w:r>
          </w:p>
        </w:tc>
        <w:tc>
          <w:tcPr>
            <w:tcW w:w="1520" w:type="dxa"/>
            <w:shd w:val="clear" w:color="auto" w:fill="auto"/>
            <w:vAlign w:val="center"/>
          </w:tcPr>
          <w:p w14:paraId="6168C482" w14:textId="7D02F4D5" w:rsidR="0014718A" w:rsidRPr="00A857B0" w:rsidRDefault="0014718A" w:rsidP="0014718A">
            <w:pPr>
              <w:spacing w:after="0" w:line="240" w:lineRule="auto"/>
              <w:jc w:val="center"/>
              <w:rPr>
                <w:sz w:val="20"/>
                <w:szCs w:val="20"/>
              </w:rPr>
            </w:pPr>
            <w:r w:rsidRPr="00A857B0">
              <w:rPr>
                <w:rFonts w:eastAsia="Times New Roman"/>
                <w:b/>
                <w:bCs/>
              </w:rPr>
              <w:t>Author</w:t>
            </w:r>
          </w:p>
        </w:tc>
        <w:tc>
          <w:tcPr>
            <w:tcW w:w="5200" w:type="dxa"/>
            <w:shd w:val="clear" w:color="auto" w:fill="auto"/>
            <w:vAlign w:val="center"/>
          </w:tcPr>
          <w:p w14:paraId="0B479C8D" w14:textId="0D20BAA0" w:rsidR="0014718A" w:rsidRPr="00A857B0" w:rsidRDefault="0014718A" w:rsidP="0014718A">
            <w:pPr>
              <w:spacing w:after="0" w:line="240" w:lineRule="auto"/>
              <w:jc w:val="center"/>
              <w:rPr>
                <w:sz w:val="20"/>
                <w:szCs w:val="20"/>
              </w:rPr>
            </w:pPr>
            <w:r w:rsidRPr="00A857B0">
              <w:rPr>
                <w:rFonts w:eastAsia="Times New Roman"/>
                <w:b/>
                <w:bCs/>
              </w:rPr>
              <w:t>Revision Notes:</w:t>
            </w:r>
          </w:p>
        </w:tc>
      </w:tr>
      <w:tr w:rsidR="00A857B0" w:rsidRPr="00A857B0" w14:paraId="28156311" w14:textId="77777777" w:rsidTr="0014718A">
        <w:tc>
          <w:tcPr>
            <w:tcW w:w="1000" w:type="dxa"/>
            <w:shd w:val="clear" w:color="auto" w:fill="auto"/>
            <w:vAlign w:val="center"/>
          </w:tcPr>
          <w:p w14:paraId="196343CC" w14:textId="77777777" w:rsidR="00323BA7" w:rsidRPr="00A857B0" w:rsidRDefault="00323BA7" w:rsidP="00F358F1">
            <w:pPr>
              <w:spacing w:after="0" w:line="240" w:lineRule="auto"/>
              <w:jc w:val="center"/>
            </w:pPr>
            <w:r w:rsidRPr="00A857B0">
              <w:rPr>
                <w:b/>
                <w:bCs/>
                <w:noProof/>
              </w:rPr>
              <w:fldChar w:fldCharType="begin">
                <w:ffData>
                  <w:name w:val="Text59"/>
                  <w:enabled/>
                  <w:calcOnExit w:val="0"/>
                  <w:textInput/>
                </w:ffData>
              </w:fldChar>
            </w:r>
            <w:bookmarkStart w:id="1" w:name="Text59"/>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bookmarkEnd w:id="1"/>
          </w:p>
        </w:tc>
        <w:tc>
          <w:tcPr>
            <w:tcW w:w="1630" w:type="dxa"/>
            <w:shd w:val="clear" w:color="auto" w:fill="auto"/>
            <w:vAlign w:val="center"/>
          </w:tcPr>
          <w:p w14:paraId="102CA5A8"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bookmarkStart w:id="2" w:name="Text60"/>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bookmarkEnd w:id="2"/>
          </w:p>
        </w:tc>
        <w:tc>
          <w:tcPr>
            <w:tcW w:w="1520" w:type="dxa"/>
            <w:shd w:val="clear" w:color="auto" w:fill="auto"/>
            <w:vAlign w:val="center"/>
          </w:tcPr>
          <w:p w14:paraId="1BDBC885" w14:textId="77777777" w:rsidR="00323BA7" w:rsidRPr="00A857B0" w:rsidRDefault="00323BA7" w:rsidP="00F358F1">
            <w:pPr>
              <w:spacing w:after="0" w:line="240" w:lineRule="auto"/>
              <w:jc w:val="center"/>
            </w:pPr>
            <w:r w:rsidRPr="00A857B0">
              <w:rPr>
                <w:b/>
                <w:bCs/>
                <w:noProof/>
              </w:rPr>
              <w:fldChar w:fldCharType="begin">
                <w:ffData>
                  <w:name w:val="Text61"/>
                  <w:enabled/>
                  <w:calcOnExit w:val="0"/>
                  <w:textInput/>
                </w:ffData>
              </w:fldChar>
            </w:r>
            <w:bookmarkStart w:id="3" w:name="Text61"/>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bookmarkEnd w:id="3"/>
          </w:p>
        </w:tc>
        <w:tc>
          <w:tcPr>
            <w:tcW w:w="5200" w:type="dxa"/>
            <w:shd w:val="clear" w:color="auto" w:fill="auto"/>
            <w:vAlign w:val="center"/>
          </w:tcPr>
          <w:p w14:paraId="59A8496B" w14:textId="77777777" w:rsidR="00323BA7" w:rsidRPr="00A857B0" w:rsidRDefault="00323BA7" w:rsidP="00F358F1">
            <w:pPr>
              <w:spacing w:after="0" w:line="240" w:lineRule="auto"/>
            </w:pPr>
            <w:r w:rsidRPr="00A857B0">
              <w:fldChar w:fldCharType="begin">
                <w:ffData>
                  <w:name w:val="Text62"/>
                  <w:enabled/>
                  <w:calcOnExit w:val="0"/>
                  <w:textInput/>
                </w:ffData>
              </w:fldChar>
            </w:r>
            <w:bookmarkStart w:id="4" w:name="Text62"/>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bookmarkEnd w:id="4"/>
          </w:p>
        </w:tc>
      </w:tr>
      <w:tr w:rsidR="00A857B0" w:rsidRPr="00A857B0" w14:paraId="5C466C4C" w14:textId="77777777" w:rsidTr="0014718A">
        <w:tc>
          <w:tcPr>
            <w:tcW w:w="1000" w:type="dxa"/>
            <w:shd w:val="clear" w:color="auto" w:fill="auto"/>
            <w:vAlign w:val="center"/>
          </w:tcPr>
          <w:p w14:paraId="57864ACE" w14:textId="77777777" w:rsidR="00323BA7" w:rsidRPr="00A857B0" w:rsidRDefault="00323BA7" w:rsidP="00F358F1">
            <w:pPr>
              <w:spacing w:after="0" w:line="240" w:lineRule="auto"/>
              <w:jc w:val="cente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55F0B38D"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0E250596" w14:textId="77777777" w:rsidR="00323BA7" w:rsidRPr="00A857B0" w:rsidRDefault="00323BA7" w:rsidP="00F358F1">
            <w:pPr>
              <w:spacing w:after="0" w:line="240" w:lineRule="auto"/>
              <w:jc w:val="cente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3D540B68" w14:textId="77777777" w:rsidR="00323BA7" w:rsidRPr="00A857B0" w:rsidRDefault="00323BA7" w:rsidP="00F358F1">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4E7D081B" w14:textId="77777777" w:rsidTr="0014718A">
        <w:tc>
          <w:tcPr>
            <w:tcW w:w="1000" w:type="dxa"/>
            <w:shd w:val="clear" w:color="auto" w:fill="auto"/>
            <w:vAlign w:val="center"/>
          </w:tcPr>
          <w:p w14:paraId="14B57F72" w14:textId="77777777" w:rsidR="00323BA7" w:rsidRPr="00A857B0" w:rsidRDefault="00323BA7" w:rsidP="00F358F1">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11E6F81B"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64C8E66B"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0A3C8312" w14:textId="77777777" w:rsidR="00323BA7" w:rsidRPr="00A857B0" w:rsidRDefault="00323BA7" w:rsidP="00F358F1">
            <w:pPr>
              <w:spacing w:after="0" w:line="240" w:lineRule="auto"/>
              <w:rPr>
                <w:b/>
                <w:bCs/>
                <w:noProof/>
              </w:rPr>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28B7CFDD" w14:textId="77777777" w:rsidTr="0014718A">
        <w:tc>
          <w:tcPr>
            <w:tcW w:w="1000" w:type="dxa"/>
            <w:shd w:val="clear" w:color="auto" w:fill="auto"/>
            <w:vAlign w:val="center"/>
          </w:tcPr>
          <w:p w14:paraId="2DACC0FC" w14:textId="77777777" w:rsidR="00323BA7" w:rsidRPr="00A857B0" w:rsidRDefault="00323BA7" w:rsidP="00F358F1">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577460D5"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26B3AAB1"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55A7FD93" w14:textId="77777777" w:rsidR="00323BA7" w:rsidRPr="00A857B0" w:rsidRDefault="00323BA7" w:rsidP="00F358F1">
            <w:pPr>
              <w:spacing w:after="0" w:line="240" w:lineRule="auto"/>
              <w:rPr>
                <w:b/>
                <w:bCs/>
                <w:noProof/>
              </w:rPr>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72215262" w14:textId="77777777" w:rsidTr="0014718A">
        <w:tc>
          <w:tcPr>
            <w:tcW w:w="1000" w:type="dxa"/>
            <w:shd w:val="clear" w:color="auto" w:fill="auto"/>
            <w:vAlign w:val="center"/>
          </w:tcPr>
          <w:p w14:paraId="2EAE147F" w14:textId="77777777" w:rsidR="00323BA7" w:rsidRPr="00A857B0" w:rsidRDefault="00323BA7" w:rsidP="00F358F1">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6755235A"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483A1E05"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789E75FD" w14:textId="77777777" w:rsidR="00323BA7" w:rsidRPr="00A857B0" w:rsidRDefault="00323BA7" w:rsidP="00F358F1">
            <w:pPr>
              <w:spacing w:after="0" w:line="240" w:lineRule="auto"/>
              <w:rPr>
                <w:b/>
                <w:bCs/>
                <w:noProof/>
              </w:rPr>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71C6535F" w14:textId="77777777" w:rsidTr="0014718A">
        <w:tc>
          <w:tcPr>
            <w:tcW w:w="1000" w:type="dxa"/>
            <w:shd w:val="clear" w:color="auto" w:fill="auto"/>
            <w:vAlign w:val="center"/>
          </w:tcPr>
          <w:p w14:paraId="036273F7" w14:textId="77777777" w:rsidR="00323BA7" w:rsidRPr="00A857B0" w:rsidRDefault="00323BA7" w:rsidP="00F358F1">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73076FAB"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7F53E203"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501286B3" w14:textId="77777777" w:rsidR="00323BA7" w:rsidRPr="00A857B0" w:rsidRDefault="00323BA7" w:rsidP="00F358F1">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35AAF9E3" w14:textId="77777777" w:rsidTr="0014718A">
        <w:tc>
          <w:tcPr>
            <w:tcW w:w="1000" w:type="dxa"/>
            <w:shd w:val="clear" w:color="auto" w:fill="auto"/>
            <w:vAlign w:val="center"/>
          </w:tcPr>
          <w:p w14:paraId="60795540" w14:textId="77777777" w:rsidR="00323BA7" w:rsidRPr="00A857B0" w:rsidRDefault="00323BA7" w:rsidP="00F358F1">
            <w:pPr>
              <w:spacing w:after="0" w:line="240" w:lineRule="auto"/>
              <w:jc w:val="center"/>
              <w:rPr>
                <w:b/>
                <w:bCs/>
                <w:noProof/>
              </w:rP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29C86E1D"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09351DAA"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55BFAF0A" w14:textId="77777777" w:rsidR="00323BA7" w:rsidRPr="00A857B0" w:rsidRDefault="00323BA7" w:rsidP="00F358F1">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25008547" w14:textId="77777777" w:rsidTr="0014718A">
        <w:tc>
          <w:tcPr>
            <w:tcW w:w="1000" w:type="dxa"/>
            <w:shd w:val="clear" w:color="auto" w:fill="auto"/>
            <w:vAlign w:val="center"/>
          </w:tcPr>
          <w:p w14:paraId="7B41387A" w14:textId="77777777" w:rsidR="00323BA7" w:rsidRPr="00A857B0" w:rsidRDefault="00323BA7" w:rsidP="00F358F1">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1020974F"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4D597642"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7C1AA388" w14:textId="77777777" w:rsidR="00323BA7" w:rsidRPr="00A857B0" w:rsidRDefault="00323BA7" w:rsidP="00F358F1">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749536EE" w14:textId="77777777" w:rsidTr="0014718A">
        <w:tc>
          <w:tcPr>
            <w:tcW w:w="1000" w:type="dxa"/>
            <w:shd w:val="clear" w:color="auto" w:fill="auto"/>
            <w:vAlign w:val="center"/>
          </w:tcPr>
          <w:p w14:paraId="2005CBC9" w14:textId="77777777" w:rsidR="00323BA7" w:rsidRPr="00A857B0" w:rsidRDefault="00323BA7" w:rsidP="00F358F1">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1967B371"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3A5BAC3A"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69EAED0F" w14:textId="77777777" w:rsidR="00323BA7" w:rsidRPr="00A857B0" w:rsidRDefault="00323BA7" w:rsidP="00F358F1">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5D7A0FB6" w14:textId="77777777" w:rsidTr="0014718A">
        <w:tc>
          <w:tcPr>
            <w:tcW w:w="1000" w:type="dxa"/>
            <w:shd w:val="clear" w:color="auto" w:fill="auto"/>
            <w:vAlign w:val="center"/>
          </w:tcPr>
          <w:p w14:paraId="1B694A8A" w14:textId="77777777" w:rsidR="00323BA7" w:rsidRPr="00A857B0" w:rsidRDefault="00323BA7" w:rsidP="00F358F1">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315D5033" w14:textId="77777777" w:rsidR="00323BA7" w:rsidRPr="00A857B0" w:rsidRDefault="00323BA7" w:rsidP="00F358F1">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63DA739D" w14:textId="77777777" w:rsidR="00323BA7" w:rsidRPr="00A857B0" w:rsidRDefault="00323BA7" w:rsidP="00F358F1">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4E924BFD" w14:textId="77777777" w:rsidR="00323BA7" w:rsidRPr="00A857B0" w:rsidRDefault="00323BA7" w:rsidP="00F358F1">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44E43756" w14:textId="77777777" w:rsidTr="0014718A">
        <w:tc>
          <w:tcPr>
            <w:tcW w:w="1000" w:type="dxa"/>
            <w:shd w:val="clear" w:color="auto" w:fill="auto"/>
            <w:vAlign w:val="center"/>
          </w:tcPr>
          <w:p w14:paraId="4D6C2470" w14:textId="3A504EEE"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48BEC969" w14:textId="35F0D68E"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5A418A20" w14:textId="7363D41C"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1F5CC452" w14:textId="57CD1DCC"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49098EA1" w14:textId="77777777" w:rsidTr="0014718A">
        <w:tc>
          <w:tcPr>
            <w:tcW w:w="1000" w:type="dxa"/>
            <w:shd w:val="clear" w:color="auto" w:fill="auto"/>
            <w:vAlign w:val="center"/>
          </w:tcPr>
          <w:p w14:paraId="4FB09D96" w14:textId="0EB194D4" w:rsidR="00A43667" w:rsidRPr="00A857B0" w:rsidRDefault="00A43667" w:rsidP="00A43667">
            <w:pPr>
              <w:spacing w:after="0" w:line="240" w:lineRule="auto"/>
              <w:jc w:val="center"/>
              <w:rPr>
                <w:b/>
                <w:bCs/>
                <w:noProof/>
              </w:rP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459A7229" w14:textId="4DA7306D"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511A7399" w14:textId="21F9B445"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7ED19337" w14:textId="03857969"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0A9FA77C" w14:textId="77777777" w:rsidTr="0014718A">
        <w:tc>
          <w:tcPr>
            <w:tcW w:w="1000" w:type="dxa"/>
            <w:shd w:val="clear" w:color="auto" w:fill="auto"/>
            <w:vAlign w:val="center"/>
          </w:tcPr>
          <w:p w14:paraId="0C774520" w14:textId="29E8FCBE"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56A39A37" w14:textId="6A34BD71"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5D6015A8" w14:textId="04548FA4"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4A2BBA87" w14:textId="3B173629"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29960641" w14:textId="77777777" w:rsidTr="0014718A">
        <w:tc>
          <w:tcPr>
            <w:tcW w:w="1000" w:type="dxa"/>
            <w:shd w:val="clear" w:color="auto" w:fill="auto"/>
            <w:vAlign w:val="center"/>
          </w:tcPr>
          <w:p w14:paraId="6F3D64E7" w14:textId="7B7ABABC"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2154EB87" w14:textId="2E5AB74F"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51DC6C63" w14:textId="693712A9"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103703B6" w14:textId="00D3C9BF"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1B57997F" w14:textId="77777777" w:rsidTr="0014718A">
        <w:tc>
          <w:tcPr>
            <w:tcW w:w="1000" w:type="dxa"/>
            <w:shd w:val="clear" w:color="auto" w:fill="auto"/>
            <w:vAlign w:val="center"/>
          </w:tcPr>
          <w:p w14:paraId="25747EB7" w14:textId="0AA86C6A"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012E0249" w14:textId="7A53D8B9"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5D1A48CA" w14:textId="7DAE3693"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546755E8" w14:textId="1F70B1E5"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508AFCFF" w14:textId="77777777" w:rsidTr="0014718A">
        <w:tc>
          <w:tcPr>
            <w:tcW w:w="1000" w:type="dxa"/>
            <w:shd w:val="clear" w:color="auto" w:fill="auto"/>
            <w:vAlign w:val="center"/>
          </w:tcPr>
          <w:p w14:paraId="04C0CD88" w14:textId="7F1893C8"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7399809E" w14:textId="6CEA54FE"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62E81FAA" w14:textId="74CB7F7E"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7E1396BE" w14:textId="3DE70247"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3C92576E" w14:textId="77777777" w:rsidTr="0014718A">
        <w:tc>
          <w:tcPr>
            <w:tcW w:w="1000" w:type="dxa"/>
            <w:shd w:val="clear" w:color="auto" w:fill="auto"/>
            <w:vAlign w:val="center"/>
          </w:tcPr>
          <w:p w14:paraId="080E9731" w14:textId="5530EBA1" w:rsidR="00A43667" w:rsidRPr="00A857B0" w:rsidRDefault="00A43667" w:rsidP="00A43667">
            <w:pPr>
              <w:spacing w:after="0" w:line="240" w:lineRule="auto"/>
              <w:jc w:val="center"/>
              <w:rPr>
                <w:b/>
                <w:bCs/>
                <w:noProof/>
              </w:rP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32CAE202" w14:textId="50CC6311"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2C4D2AD7" w14:textId="4C016C60"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277131DB" w14:textId="6DA7799C"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651ADD95" w14:textId="77777777" w:rsidTr="0014718A">
        <w:tc>
          <w:tcPr>
            <w:tcW w:w="1000" w:type="dxa"/>
            <w:shd w:val="clear" w:color="auto" w:fill="auto"/>
            <w:vAlign w:val="center"/>
          </w:tcPr>
          <w:p w14:paraId="4CD2DDB4" w14:textId="52B37A90"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509032B5" w14:textId="4A71D38F"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46F62E4F" w14:textId="0BCDE859"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6D5B5D65" w14:textId="7557582C"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7B897FD2" w14:textId="77777777" w:rsidTr="0014718A">
        <w:tc>
          <w:tcPr>
            <w:tcW w:w="1000" w:type="dxa"/>
            <w:shd w:val="clear" w:color="auto" w:fill="auto"/>
            <w:vAlign w:val="center"/>
          </w:tcPr>
          <w:p w14:paraId="56393CE4" w14:textId="64F99CFD"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6CE1D9F5" w14:textId="57087FEF"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2F7371C2" w14:textId="7C20CE7C"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7ADFECB9" w14:textId="119E6303"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857B0" w:rsidRPr="00A857B0" w14:paraId="46B402B6" w14:textId="77777777" w:rsidTr="0014718A">
        <w:tc>
          <w:tcPr>
            <w:tcW w:w="1000" w:type="dxa"/>
            <w:shd w:val="clear" w:color="auto" w:fill="auto"/>
            <w:vAlign w:val="center"/>
          </w:tcPr>
          <w:p w14:paraId="13F86DEC" w14:textId="02D8D22B" w:rsidR="00A43667" w:rsidRPr="00A857B0" w:rsidRDefault="00A43667" w:rsidP="00A43667">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shd w:val="clear" w:color="auto" w:fill="auto"/>
            <w:vAlign w:val="center"/>
          </w:tcPr>
          <w:p w14:paraId="3C9DABB6" w14:textId="53036B20" w:rsidR="00A43667" w:rsidRPr="00A857B0" w:rsidRDefault="00A43667" w:rsidP="00A43667">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shd w:val="clear" w:color="auto" w:fill="auto"/>
            <w:vAlign w:val="center"/>
          </w:tcPr>
          <w:p w14:paraId="07D128B5" w14:textId="45318A9C" w:rsidR="00A43667" w:rsidRPr="00A857B0" w:rsidRDefault="00A43667" w:rsidP="00A43667">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shd w:val="clear" w:color="auto" w:fill="auto"/>
            <w:vAlign w:val="center"/>
          </w:tcPr>
          <w:p w14:paraId="7E135515" w14:textId="189F674E" w:rsidR="00A43667" w:rsidRPr="00A857B0" w:rsidRDefault="00A43667" w:rsidP="00A43667">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bl>
    <w:p w14:paraId="555CD665" w14:textId="2D675FBB" w:rsidR="00F4522F" w:rsidRDefault="00F4522F" w:rsidP="001C1AD8">
      <w:pPr>
        <w:spacing w:after="0" w:line="240" w:lineRule="auto"/>
        <w:rPr>
          <w:rFonts w:cs="Arial"/>
        </w:rPr>
      </w:pPr>
      <w:r>
        <w:rPr>
          <w:rFonts w:cs="Arial"/>
        </w:rPr>
        <w:br w:type="page"/>
      </w:r>
    </w:p>
    <w:p w14:paraId="6599B848" w14:textId="7A83ACEC" w:rsidR="00F4522F" w:rsidRPr="00365BA6" w:rsidRDefault="00F4522F" w:rsidP="001C1AD8">
      <w:pPr>
        <w:spacing w:line="240" w:lineRule="auto"/>
        <w:jc w:val="center"/>
        <w:rPr>
          <w:b/>
        </w:rPr>
      </w:pPr>
      <w:r w:rsidRPr="00365BA6">
        <w:rPr>
          <w:b/>
        </w:rPr>
        <w:lastRenderedPageBreak/>
        <w:t>Documentation of Standard Operating Procedure Training</w:t>
      </w:r>
    </w:p>
    <w:p w14:paraId="553F88F5" w14:textId="77777777" w:rsidR="00F4522F" w:rsidRPr="00CA1C46" w:rsidRDefault="00F4522F" w:rsidP="001C1AD8">
      <w:pPr>
        <w:spacing w:after="0" w:line="240" w:lineRule="auto"/>
        <w:jc w:val="center"/>
        <w:rPr>
          <w:rFonts w:eastAsia="Times New Roman"/>
          <w:i/>
        </w:rPr>
      </w:pPr>
      <w:r w:rsidRPr="00CA1C46">
        <w:rPr>
          <w:rFonts w:eastAsia="Times New Roman"/>
          <w:i/>
        </w:rPr>
        <w:t>(</w:t>
      </w:r>
      <w:r w:rsidR="003D2404" w:rsidRPr="00CA1C46">
        <w:rPr>
          <w:rFonts w:eastAsia="Times New Roman"/>
          <w:i/>
        </w:rPr>
        <w:t>Signature</w:t>
      </w:r>
      <w:r w:rsidRPr="00CA1C46">
        <w:rPr>
          <w:rFonts w:eastAsia="Times New Roman"/>
          <w:i/>
        </w:rPr>
        <w:t xml:space="preserve"> of all users is required)</w:t>
      </w:r>
    </w:p>
    <w:p w14:paraId="017600F0" w14:textId="77777777" w:rsidR="00F4522F" w:rsidRPr="0049201C" w:rsidRDefault="00F4522F" w:rsidP="001C1AD8">
      <w:pPr>
        <w:spacing w:after="0" w:line="240" w:lineRule="auto"/>
        <w:rPr>
          <w:rFonts w:eastAsia="Times New Roman"/>
          <w:i/>
        </w:rPr>
      </w:pPr>
    </w:p>
    <w:p w14:paraId="270EBA2D" w14:textId="3E6A63C5" w:rsidR="00F4522F" w:rsidRPr="0049201C" w:rsidRDefault="00F4522F" w:rsidP="001C1AD8">
      <w:pPr>
        <w:numPr>
          <w:ilvl w:val="0"/>
          <w:numId w:val="21"/>
        </w:numPr>
        <w:spacing w:after="0" w:line="240" w:lineRule="auto"/>
        <w:contextualSpacing/>
        <w:rPr>
          <w:rFonts w:eastAsia="MS Mincho"/>
          <w:lang w:eastAsia="ja-JP"/>
        </w:rPr>
      </w:pPr>
      <w:r w:rsidRPr="0049201C">
        <w:rPr>
          <w:rFonts w:eastAsia="MS Mincho"/>
          <w:lang w:eastAsia="ja-JP"/>
        </w:rPr>
        <w:t xml:space="preserve">Prior to </w:t>
      </w:r>
      <w:r w:rsidR="00663985" w:rsidRPr="0049201C">
        <w:rPr>
          <w:rFonts w:eastAsia="MS Mincho"/>
          <w:lang w:eastAsia="ja-JP"/>
        </w:rPr>
        <w:t>using</w:t>
      </w:r>
      <w:r w:rsidR="004A5373" w:rsidRPr="0049201C">
        <w:rPr>
          <w:rFonts w:eastAsia="MS Mincho"/>
          <w:lang w:eastAsia="ja-JP"/>
        </w:rPr>
        <w:t xml:space="preserve"> </w:t>
      </w:r>
      <w:r w:rsidR="00550151" w:rsidRPr="0049201C">
        <w:rPr>
          <w:rFonts w:eastAsia="Times New Roman"/>
          <w:b/>
        </w:rPr>
        <w:t>Acutely Toxic Solids and Liquids</w:t>
      </w:r>
      <w:r w:rsidRPr="0049201C">
        <w:rPr>
          <w:rFonts w:eastAsia="MS Mincho"/>
          <w:lang w:eastAsia="ja-JP"/>
        </w:rPr>
        <w:t xml:space="preserve">, </w:t>
      </w:r>
      <w:r w:rsidR="00663985" w:rsidRPr="0049201C">
        <w:rPr>
          <w:rFonts w:eastAsia="MS Mincho"/>
          <w:lang w:eastAsia="ja-JP"/>
        </w:rPr>
        <w:t>laboratory personnel must be trained on the hazards described in this SOP, how to protect themselves from these hazards, and emergency procedures.</w:t>
      </w:r>
    </w:p>
    <w:p w14:paraId="7B0912A8" w14:textId="77777777" w:rsidR="00F4522F" w:rsidRPr="0049201C" w:rsidRDefault="00F4522F" w:rsidP="001C1AD8">
      <w:pPr>
        <w:spacing w:after="0" w:line="240" w:lineRule="auto"/>
        <w:ind w:left="720"/>
        <w:contextualSpacing/>
        <w:rPr>
          <w:rFonts w:eastAsia="MS Mincho"/>
          <w:lang w:eastAsia="ja-JP"/>
        </w:rPr>
      </w:pPr>
    </w:p>
    <w:p w14:paraId="261DB939" w14:textId="77777777" w:rsidR="00F4522F" w:rsidRPr="0049201C" w:rsidRDefault="00F4522F" w:rsidP="001C1AD8">
      <w:pPr>
        <w:numPr>
          <w:ilvl w:val="0"/>
          <w:numId w:val="21"/>
        </w:numPr>
        <w:spacing w:after="0" w:line="240" w:lineRule="auto"/>
        <w:contextualSpacing/>
        <w:rPr>
          <w:rFonts w:eastAsia="MS Mincho"/>
          <w:lang w:eastAsia="ja-JP"/>
        </w:rPr>
      </w:pPr>
      <w:r w:rsidRPr="0049201C">
        <w:rPr>
          <w:rFonts w:eastAsia="MS Mincho"/>
          <w:lang w:eastAsia="ja-JP"/>
        </w:rPr>
        <w:t>Ready access to this SOP and to a Safety Data Sheet for each hazardous material described in the SOP must be made available.</w:t>
      </w:r>
    </w:p>
    <w:p w14:paraId="5D577714" w14:textId="77777777" w:rsidR="00F4522F" w:rsidRPr="0049201C" w:rsidRDefault="00F4522F" w:rsidP="00FF41AE">
      <w:pPr>
        <w:spacing w:after="0" w:line="240" w:lineRule="auto"/>
        <w:ind w:left="720"/>
        <w:contextualSpacing/>
        <w:rPr>
          <w:rFonts w:eastAsia="MS Mincho"/>
          <w:lang w:eastAsia="ja-JP"/>
        </w:rPr>
      </w:pPr>
    </w:p>
    <w:p w14:paraId="7F801D04" w14:textId="0B845DC1" w:rsidR="00F4522F" w:rsidRPr="0049201C" w:rsidRDefault="00F4522F" w:rsidP="001C1AD8">
      <w:pPr>
        <w:numPr>
          <w:ilvl w:val="0"/>
          <w:numId w:val="21"/>
        </w:numPr>
        <w:spacing w:after="0" w:line="240" w:lineRule="auto"/>
        <w:contextualSpacing/>
        <w:rPr>
          <w:rFonts w:eastAsia="MS Mincho"/>
          <w:lang w:eastAsia="ja-JP"/>
        </w:rPr>
      </w:pPr>
      <w:r w:rsidRPr="0049201C">
        <w:rPr>
          <w:rFonts w:eastAsia="MS Mincho"/>
          <w:lang w:eastAsia="ja-JP"/>
        </w:rPr>
        <w:t>The Princ</w:t>
      </w:r>
      <w:r w:rsidR="00FF41AE" w:rsidRPr="0049201C">
        <w:rPr>
          <w:rFonts w:eastAsia="MS Mincho"/>
          <w:lang w:eastAsia="ja-JP"/>
        </w:rPr>
        <w:t>ipal Investigator (PI), or the Laboratory S</w:t>
      </w:r>
      <w:r w:rsidRPr="0049201C">
        <w:rPr>
          <w:rFonts w:eastAsia="MS Mincho"/>
          <w:lang w:eastAsia="ja-JP"/>
        </w:rPr>
        <w:t xml:space="preserve">upervisor if the activity does not involve a PI, must ensure that </w:t>
      </w:r>
      <w:r w:rsidR="00FF41AE" w:rsidRPr="0049201C">
        <w:rPr>
          <w:rFonts w:eastAsia="MS Mincho"/>
          <w:lang w:eastAsia="ja-JP"/>
        </w:rPr>
        <w:t>their</w:t>
      </w:r>
      <w:r w:rsidRPr="0049201C">
        <w:rPr>
          <w:rFonts w:eastAsia="MS Mincho"/>
          <w:lang w:eastAsia="ja-JP"/>
        </w:rPr>
        <w:t xml:space="preserve"> laboratory personnel have attended appropriate laboratory safety training or refresher training within the last three years.</w:t>
      </w:r>
    </w:p>
    <w:p w14:paraId="70E63217" w14:textId="77777777" w:rsidR="00FF41AE" w:rsidRPr="0049201C" w:rsidRDefault="00FF41AE" w:rsidP="00FF41AE">
      <w:pPr>
        <w:spacing w:after="0" w:line="240" w:lineRule="auto"/>
        <w:ind w:left="720"/>
        <w:contextualSpacing/>
        <w:rPr>
          <w:rFonts w:eastAsia="MS Mincho"/>
          <w:lang w:eastAsia="ja-JP"/>
        </w:rPr>
      </w:pPr>
    </w:p>
    <w:p w14:paraId="1A707A9A" w14:textId="77777777" w:rsidR="00D23DC8" w:rsidRPr="0049201C" w:rsidRDefault="00D23DC8" w:rsidP="00D23DC8">
      <w:pPr>
        <w:numPr>
          <w:ilvl w:val="0"/>
          <w:numId w:val="21"/>
        </w:numPr>
        <w:spacing w:after="0" w:line="240" w:lineRule="auto"/>
        <w:contextualSpacing/>
        <w:rPr>
          <w:rFonts w:eastAsia="MS Mincho"/>
          <w:lang w:eastAsia="ja-JP"/>
        </w:rPr>
      </w:pPr>
      <w:r w:rsidRPr="0049201C">
        <w:rPr>
          <w:rFonts w:eastAsia="MS Mincho"/>
          <w:lang w:eastAsia="ja-JP"/>
        </w:rPr>
        <w:t xml:space="preserve">Training must be repeated following </w:t>
      </w:r>
      <w:r w:rsidRPr="0049201C">
        <w:rPr>
          <w:rFonts w:eastAsia="MS Mincho"/>
          <w:b/>
          <w:lang w:eastAsia="ja-JP"/>
        </w:rPr>
        <w:t>any</w:t>
      </w:r>
      <w:r w:rsidRPr="0049201C">
        <w:rPr>
          <w:rFonts w:eastAsia="MS Mincho"/>
          <w:lang w:eastAsia="ja-JP"/>
        </w:rPr>
        <w:t xml:space="preserve"> revision to the content of this SOP.  Training </w:t>
      </w:r>
      <w:r w:rsidRPr="0049201C">
        <w:rPr>
          <w:rFonts w:eastAsia="MS Mincho"/>
          <w:u w:val="single"/>
          <w:lang w:eastAsia="ja-JP"/>
        </w:rPr>
        <w:t>must be documented</w:t>
      </w:r>
      <w:r w:rsidRPr="0049201C">
        <w:rPr>
          <w:rFonts w:eastAsia="MS Mincho"/>
          <w:lang w:eastAsia="ja-JP"/>
        </w:rPr>
        <w:t>.  This training sheet is provided as one option; other forms of training documentation (including electronic) are acceptable but records must be accessible and immediately available upon request.</w:t>
      </w:r>
    </w:p>
    <w:p w14:paraId="681C34FE" w14:textId="48EB009F" w:rsidR="00D23DC8" w:rsidRPr="00D23DC8" w:rsidRDefault="00D23DC8" w:rsidP="00D23DC8">
      <w:pPr>
        <w:spacing w:after="0" w:line="240" w:lineRule="auto"/>
        <w:rPr>
          <w:rFonts w:eastAsia="Times New Roman"/>
          <w:b/>
          <w:color w:val="002855"/>
        </w:rPr>
      </w:pPr>
    </w:p>
    <w:p w14:paraId="1D29E651" w14:textId="0AD44AA9" w:rsidR="00D23DC8" w:rsidRDefault="00D23DC8" w:rsidP="00D23DC8">
      <w:pPr>
        <w:spacing w:after="0" w:line="240" w:lineRule="auto"/>
        <w:rPr>
          <w:rFonts w:eastAsia="Times New Roman"/>
          <w:color w:val="002855"/>
        </w:rPr>
      </w:pPr>
      <w:r w:rsidRPr="00CA1C46">
        <w:rPr>
          <w:rFonts w:eastAsia="Times New Roman"/>
          <w:b/>
        </w:rPr>
        <w:t xml:space="preserve">Designated Trainer: </w:t>
      </w:r>
      <w:r w:rsidRPr="00CA1C46">
        <w:rPr>
          <w:rFonts w:eastAsia="Times New Roman"/>
          <w:i/>
        </w:rPr>
        <w:t>(signature is required)</w:t>
      </w:r>
      <w:r w:rsidRPr="00CA1C46">
        <w:rPr>
          <w:rFonts w:eastAsia="Times New Roman"/>
        </w:rPr>
        <w:t xml:space="preserve"> </w:t>
      </w: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w:instrText>
      </w:r>
      <w:bookmarkStart w:id="5" w:name="Text54"/>
      <w:r w:rsidRPr="006F0BAD">
        <w:rPr>
          <w:rFonts w:eastAsia="Times New Roman"/>
          <w:color w:val="002855"/>
        </w:rPr>
        <w:instrText xml:space="preserve">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bookmarkEnd w:id="5"/>
    </w:p>
    <w:p w14:paraId="6B75766F" w14:textId="77777777" w:rsidR="00D23DC8" w:rsidRPr="00415AFA" w:rsidRDefault="00D23DC8" w:rsidP="00D23DC8">
      <w:pPr>
        <w:spacing w:after="0" w:line="240" w:lineRule="auto"/>
        <w:ind w:firstLine="3870"/>
        <w:rPr>
          <w:rFonts w:eastAsia="Times New Roman"/>
          <w:color w:val="002855"/>
        </w:rPr>
      </w:pPr>
      <w:r w:rsidRPr="006F0BAD">
        <w:rPr>
          <w:rFonts w:eastAsia="Times New Roman"/>
          <w:color w:val="002855"/>
        </w:rPr>
        <w:fldChar w:fldCharType="begin">
          <w:ffData>
            <w:name w:val="Text54"/>
            <w:enabled/>
            <w:calcOnExit w:val="0"/>
            <w:textInput/>
          </w:ffData>
        </w:fldChar>
      </w:r>
      <w:r w:rsidRPr="006F0BAD">
        <w:rPr>
          <w:rFonts w:eastAsia="Times New Roman"/>
          <w:color w:val="002855"/>
        </w:rPr>
        <w:instrText xml:space="preserve"> FORMTEXT </w:instrText>
      </w:r>
      <w:r w:rsidRPr="006F0BAD">
        <w:rPr>
          <w:rFonts w:eastAsia="Times New Roman"/>
          <w:color w:val="002855"/>
        </w:rPr>
      </w:r>
      <w:r w:rsidRPr="006F0BAD">
        <w:rPr>
          <w:rFonts w:eastAsia="Times New Roman"/>
          <w:color w:val="002855"/>
        </w:rPr>
        <w:fldChar w:fldCharType="separate"/>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noProof/>
          <w:color w:val="002855"/>
        </w:rPr>
        <w:t> </w:t>
      </w:r>
      <w:r w:rsidRPr="006F0BAD">
        <w:rPr>
          <w:rFonts w:eastAsia="Times New Roman"/>
          <w:color w:val="002855"/>
        </w:rPr>
        <w:fldChar w:fldCharType="end"/>
      </w:r>
    </w:p>
    <w:p w14:paraId="144D6555" w14:textId="77777777" w:rsidR="00D23DC8" w:rsidRPr="0049201C" w:rsidRDefault="00D23DC8" w:rsidP="00D23DC8">
      <w:pPr>
        <w:spacing w:after="0" w:line="240" w:lineRule="auto"/>
        <w:ind w:left="3960" w:hanging="3960"/>
        <w:rPr>
          <w:rFonts w:eastAsia="Times New Roman"/>
          <w:b/>
        </w:rPr>
      </w:pPr>
    </w:p>
    <w:p w14:paraId="664468D5" w14:textId="47C0964A" w:rsidR="004C0377" w:rsidRPr="0049201C" w:rsidRDefault="004C0377" w:rsidP="004C0377">
      <w:pPr>
        <w:spacing w:after="0" w:line="240" w:lineRule="auto"/>
        <w:rPr>
          <w:rFonts w:eastAsia="Times New Roman"/>
        </w:rPr>
      </w:pPr>
      <w:r w:rsidRPr="0049201C">
        <w:rPr>
          <w:rFonts w:eastAsia="Times New Roman"/>
        </w:rPr>
        <w:t>I have read and acknowledge the contents, requirements, and responsibilities outlined in this SOP:</w:t>
      </w:r>
    </w:p>
    <w:p w14:paraId="6976A4BE" w14:textId="77777777" w:rsidR="004C0377" w:rsidRPr="00CA1C46" w:rsidRDefault="004C0377" w:rsidP="004C0377">
      <w:pPr>
        <w:spacing w:after="0" w:line="240" w:lineRule="auto"/>
        <w:rPr>
          <w:rFonts w:eastAsia="Times New Roman"/>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A857B0" w:rsidRPr="00A857B0" w14:paraId="40B00337" w14:textId="77777777" w:rsidTr="00D23DC8">
        <w:tc>
          <w:tcPr>
            <w:tcW w:w="3496" w:type="dxa"/>
            <w:shd w:val="clear" w:color="auto" w:fill="auto"/>
          </w:tcPr>
          <w:p w14:paraId="079B0669" w14:textId="46819A9C" w:rsidR="004C0377" w:rsidRPr="00A857B0" w:rsidRDefault="004C0377" w:rsidP="007E6636">
            <w:pPr>
              <w:spacing w:after="0" w:line="240" w:lineRule="auto"/>
              <w:rPr>
                <w:rFonts w:eastAsia="Times New Roman"/>
                <w:b/>
              </w:rPr>
            </w:pPr>
            <w:r w:rsidRPr="00A857B0">
              <w:rPr>
                <w:rFonts w:eastAsia="Times New Roman"/>
                <w:b/>
              </w:rPr>
              <w:t>Name</w:t>
            </w:r>
          </w:p>
          <w:p w14:paraId="6151A782" w14:textId="77777777" w:rsidR="004C0377" w:rsidRPr="00A857B0" w:rsidRDefault="004C0377" w:rsidP="007E6636">
            <w:pPr>
              <w:spacing w:after="0" w:line="240" w:lineRule="auto"/>
              <w:rPr>
                <w:rFonts w:eastAsia="Times New Roman"/>
              </w:rPr>
            </w:pPr>
          </w:p>
        </w:tc>
        <w:tc>
          <w:tcPr>
            <w:tcW w:w="3605" w:type="dxa"/>
            <w:shd w:val="clear" w:color="auto" w:fill="auto"/>
          </w:tcPr>
          <w:p w14:paraId="14941D5E" w14:textId="77777777" w:rsidR="004C0377" w:rsidRPr="00A857B0" w:rsidRDefault="004C0377" w:rsidP="007E6636">
            <w:pPr>
              <w:spacing w:after="0" w:line="240" w:lineRule="auto"/>
              <w:rPr>
                <w:rFonts w:eastAsia="Times New Roman"/>
              </w:rPr>
            </w:pPr>
            <w:r w:rsidRPr="00A857B0">
              <w:rPr>
                <w:rFonts w:eastAsia="Times New Roman"/>
                <w:b/>
              </w:rPr>
              <w:t>Signature</w:t>
            </w:r>
          </w:p>
        </w:tc>
        <w:tc>
          <w:tcPr>
            <w:tcW w:w="1238" w:type="dxa"/>
            <w:shd w:val="clear" w:color="auto" w:fill="auto"/>
          </w:tcPr>
          <w:p w14:paraId="11374B49" w14:textId="77777777" w:rsidR="004C0377" w:rsidRPr="00A857B0" w:rsidRDefault="004C0377" w:rsidP="007E6636">
            <w:pPr>
              <w:spacing w:after="0" w:line="240" w:lineRule="auto"/>
              <w:jc w:val="center"/>
              <w:rPr>
                <w:rFonts w:eastAsia="Times New Roman"/>
                <w:b/>
              </w:rPr>
            </w:pPr>
            <w:r w:rsidRPr="00A857B0">
              <w:rPr>
                <w:rFonts w:eastAsia="Times New Roman"/>
                <w:b/>
              </w:rPr>
              <w:t>Trainer Initials</w:t>
            </w:r>
          </w:p>
        </w:tc>
        <w:tc>
          <w:tcPr>
            <w:tcW w:w="1237" w:type="dxa"/>
            <w:shd w:val="clear" w:color="auto" w:fill="auto"/>
          </w:tcPr>
          <w:p w14:paraId="114FE279" w14:textId="1DD66F89" w:rsidR="004C0377" w:rsidRPr="00A857B0" w:rsidRDefault="004C0377" w:rsidP="007E6636">
            <w:pPr>
              <w:spacing w:after="0" w:line="240" w:lineRule="auto"/>
              <w:jc w:val="center"/>
              <w:rPr>
                <w:rFonts w:eastAsia="Times New Roman"/>
              </w:rPr>
            </w:pPr>
            <w:r w:rsidRPr="00A857B0">
              <w:rPr>
                <w:rFonts w:eastAsia="Times New Roman"/>
                <w:b/>
              </w:rPr>
              <w:t>Date</w:t>
            </w:r>
          </w:p>
        </w:tc>
      </w:tr>
      <w:tr w:rsidR="00A857B0" w:rsidRPr="00A857B0" w14:paraId="09F92225" w14:textId="77777777" w:rsidTr="00D23DC8">
        <w:trPr>
          <w:trHeight w:val="414"/>
        </w:trPr>
        <w:tc>
          <w:tcPr>
            <w:tcW w:w="3496" w:type="dxa"/>
            <w:shd w:val="clear" w:color="auto" w:fill="auto"/>
            <w:vAlign w:val="bottom"/>
          </w:tcPr>
          <w:p w14:paraId="3B7824DB"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0B2AB12A"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7FDB564B"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1C8A8ABC"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1D54E8E5" w14:textId="77777777" w:rsidTr="00D23DC8">
        <w:trPr>
          <w:trHeight w:val="414"/>
        </w:trPr>
        <w:tc>
          <w:tcPr>
            <w:tcW w:w="3496" w:type="dxa"/>
            <w:shd w:val="clear" w:color="auto" w:fill="auto"/>
            <w:vAlign w:val="bottom"/>
          </w:tcPr>
          <w:p w14:paraId="359FA2BC"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4832D01A"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60664C10"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4F80DAC0"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0EAA29B5" w14:textId="77777777" w:rsidTr="00D23DC8">
        <w:trPr>
          <w:trHeight w:val="414"/>
        </w:trPr>
        <w:tc>
          <w:tcPr>
            <w:tcW w:w="3496" w:type="dxa"/>
            <w:shd w:val="clear" w:color="auto" w:fill="auto"/>
            <w:vAlign w:val="bottom"/>
          </w:tcPr>
          <w:p w14:paraId="5D77574E"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465D3B6E"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01BDBA9D"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66ACCFBB"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5C4AFDF6" w14:textId="77777777" w:rsidTr="00D23DC8">
        <w:trPr>
          <w:trHeight w:val="414"/>
        </w:trPr>
        <w:tc>
          <w:tcPr>
            <w:tcW w:w="3496" w:type="dxa"/>
            <w:shd w:val="clear" w:color="auto" w:fill="auto"/>
            <w:vAlign w:val="bottom"/>
          </w:tcPr>
          <w:p w14:paraId="310EB708"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1C90832D"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6F0523F2"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3340E982"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5BBD89E0" w14:textId="77777777" w:rsidTr="00D23DC8">
        <w:trPr>
          <w:trHeight w:val="414"/>
        </w:trPr>
        <w:tc>
          <w:tcPr>
            <w:tcW w:w="3496" w:type="dxa"/>
            <w:shd w:val="clear" w:color="auto" w:fill="auto"/>
            <w:vAlign w:val="bottom"/>
          </w:tcPr>
          <w:p w14:paraId="43FDA91F"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754DF388"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4A84B07A"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5F730CC3"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7A481320" w14:textId="77777777" w:rsidTr="00D23DC8">
        <w:trPr>
          <w:trHeight w:val="414"/>
        </w:trPr>
        <w:tc>
          <w:tcPr>
            <w:tcW w:w="3496" w:type="dxa"/>
            <w:shd w:val="clear" w:color="auto" w:fill="auto"/>
            <w:vAlign w:val="bottom"/>
          </w:tcPr>
          <w:p w14:paraId="115F4BF1"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0FF10FCE"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2DF80E9B"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20550FB3"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7C89CF2C" w14:textId="77777777" w:rsidTr="00D23DC8">
        <w:trPr>
          <w:trHeight w:val="414"/>
        </w:trPr>
        <w:tc>
          <w:tcPr>
            <w:tcW w:w="3496" w:type="dxa"/>
            <w:shd w:val="clear" w:color="auto" w:fill="auto"/>
            <w:vAlign w:val="bottom"/>
          </w:tcPr>
          <w:p w14:paraId="3A12AF4E"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79DC26C3"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0DC80878"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4DF9A05C"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09A4CC5D" w14:textId="77777777" w:rsidTr="00D23DC8">
        <w:trPr>
          <w:trHeight w:val="414"/>
        </w:trPr>
        <w:tc>
          <w:tcPr>
            <w:tcW w:w="3496" w:type="dxa"/>
            <w:shd w:val="clear" w:color="auto" w:fill="auto"/>
            <w:vAlign w:val="bottom"/>
          </w:tcPr>
          <w:p w14:paraId="4DDDBE73"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4EE0182B"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060C1406"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1868DAF6"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7B862817" w14:textId="77777777" w:rsidTr="00D23DC8">
        <w:trPr>
          <w:trHeight w:val="414"/>
        </w:trPr>
        <w:tc>
          <w:tcPr>
            <w:tcW w:w="3496" w:type="dxa"/>
            <w:shd w:val="clear" w:color="auto" w:fill="auto"/>
            <w:vAlign w:val="bottom"/>
          </w:tcPr>
          <w:p w14:paraId="1240B9B8"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58218895"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19819393"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1B0720E8"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40E36549" w14:textId="77777777" w:rsidTr="00D23DC8">
        <w:trPr>
          <w:trHeight w:val="414"/>
        </w:trPr>
        <w:tc>
          <w:tcPr>
            <w:tcW w:w="3496" w:type="dxa"/>
            <w:shd w:val="clear" w:color="auto" w:fill="auto"/>
            <w:vAlign w:val="bottom"/>
          </w:tcPr>
          <w:p w14:paraId="64BCE2F4"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3D5B9A5C"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7E3D8E97"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1A942886"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61F7B681" w14:textId="77777777" w:rsidTr="00D23DC8">
        <w:trPr>
          <w:trHeight w:val="414"/>
        </w:trPr>
        <w:tc>
          <w:tcPr>
            <w:tcW w:w="3496" w:type="dxa"/>
            <w:shd w:val="clear" w:color="auto" w:fill="auto"/>
            <w:vAlign w:val="bottom"/>
          </w:tcPr>
          <w:p w14:paraId="1A84DA67"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75BB5EB5"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302D35EC"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517A756D"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857B0" w:rsidRPr="00A857B0" w14:paraId="16448C0C" w14:textId="77777777" w:rsidTr="00D23DC8">
        <w:trPr>
          <w:trHeight w:val="414"/>
        </w:trPr>
        <w:tc>
          <w:tcPr>
            <w:tcW w:w="3496" w:type="dxa"/>
            <w:shd w:val="clear" w:color="auto" w:fill="auto"/>
            <w:vAlign w:val="bottom"/>
          </w:tcPr>
          <w:p w14:paraId="77215FE2" w14:textId="77777777" w:rsidR="004C0377" w:rsidRPr="00A857B0" w:rsidRDefault="004C0377" w:rsidP="007E6636">
            <w:pPr>
              <w:spacing w:after="0" w:line="240" w:lineRule="auto"/>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shd w:val="clear" w:color="auto" w:fill="auto"/>
            <w:vAlign w:val="center"/>
          </w:tcPr>
          <w:p w14:paraId="566845F4" w14:textId="77777777" w:rsidR="004C0377" w:rsidRPr="00A857B0" w:rsidRDefault="004C0377" w:rsidP="007E6636">
            <w:pPr>
              <w:spacing w:after="0" w:line="240" w:lineRule="auto"/>
              <w:rPr>
                <w:rFonts w:eastAsia="Times New Roman"/>
              </w:rPr>
            </w:pPr>
          </w:p>
        </w:tc>
        <w:tc>
          <w:tcPr>
            <w:tcW w:w="1238" w:type="dxa"/>
            <w:shd w:val="clear" w:color="auto" w:fill="auto"/>
            <w:vAlign w:val="center"/>
          </w:tcPr>
          <w:p w14:paraId="79508E5C"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shd w:val="clear" w:color="auto" w:fill="auto"/>
            <w:vAlign w:val="center"/>
          </w:tcPr>
          <w:p w14:paraId="22724EC4" w14:textId="77777777" w:rsidR="004C0377" w:rsidRPr="00A857B0" w:rsidRDefault="004C0377" w:rsidP="007E6636">
            <w:pPr>
              <w:spacing w:after="0" w:line="240" w:lineRule="auto"/>
              <w:jc w:val="center"/>
              <w:rPr>
                <w:rFonts w:eastAsia="Times New Roman"/>
              </w:rP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bl>
    <w:p w14:paraId="5EBD6FD7" w14:textId="77777777" w:rsidR="001C1AD8" w:rsidRPr="005C3B86" w:rsidRDefault="001C1AD8" w:rsidP="00025BC5">
      <w:pPr>
        <w:spacing w:line="240" w:lineRule="auto"/>
        <w:jc w:val="both"/>
        <w:rPr>
          <w:rFonts w:cs="Arial"/>
        </w:rPr>
      </w:pPr>
    </w:p>
    <w:sectPr w:rsidR="001C1AD8" w:rsidRPr="005C3B86" w:rsidSect="006228DE">
      <w:headerReference w:type="even" r:id="rId17"/>
      <w:headerReference w:type="default" r:id="rId18"/>
      <w:footerReference w:type="even" r:id="rId19"/>
      <w:footerReference w:type="default" r:id="rId20"/>
      <w:headerReference w:type="first" r:id="rId21"/>
      <w:footerReference w:type="first" r:id="rId22"/>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9586F" w14:textId="77777777" w:rsidR="00F358F1" w:rsidRDefault="00F358F1" w:rsidP="00087560">
      <w:pPr>
        <w:spacing w:after="0" w:line="240" w:lineRule="auto"/>
      </w:pPr>
      <w:r>
        <w:separator/>
      </w:r>
    </w:p>
  </w:endnote>
  <w:endnote w:type="continuationSeparator" w:id="0">
    <w:p w14:paraId="264A135D" w14:textId="77777777" w:rsidR="00F358F1" w:rsidRDefault="00F358F1"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E8F5" w14:textId="77777777" w:rsidR="0044443D" w:rsidRDefault="004444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F4F60" w14:textId="77777777" w:rsidR="00F358F1" w:rsidRDefault="00F358F1" w:rsidP="00F4522F">
    <w:pPr>
      <w:tabs>
        <w:tab w:val="right" w:pos="9360"/>
      </w:tabs>
      <w:spacing w:after="0" w:line="240" w:lineRule="auto"/>
      <w:ind w:right="-720"/>
      <w:rPr>
        <w:rFonts w:eastAsia="Times New Roman" w:cs="Arial"/>
        <w:color w:val="A6A6A6"/>
        <w:sz w:val="20"/>
        <w:szCs w:val="24"/>
        <w:lang w:eastAsia="x-none"/>
      </w:rPr>
    </w:pPr>
  </w:p>
  <w:p w14:paraId="4364D125" w14:textId="0DEDA2BD" w:rsidR="00F358F1" w:rsidRDefault="00F358F1" w:rsidP="00F4522F">
    <w:pPr>
      <w:tabs>
        <w:tab w:val="right" w:pos="9360"/>
      </w:tabs>
      <w:spacing w:after="0" w:line="240" w:lineRule="auto"/>
      <w:ind w:right="-720"/>
      <w:rPr>
        <w:rFonts w:eastAsia="Times New Roman" w:cs="Arial"/>
        <w:color w:val="A6A6A6"/>
        <w:sz w:val="20"/>
        <w:szCs w:val="24"/>
        <w:lang w:eastAsia="x-none"/>
      </w:rPr>
    </w:pPr>
    <w:r w:rsidRPr="00EB59C4">
      <w:rPr>
        <w:rFonts w:eastAsia="Times New Roman" w:cs="Arial"/>
        <w:color w:val="A6A6A6"/>
        <w:sz w:val="20"/>
        <w:szCs w:val="24"/>
        <w:lang w:eastAsia="x-none"/>
      </w:rPr>
      <w:t xml:space="preserve">SOP </w:t>
    </w:r>
    <w:r>
      <w:rPr>
        <w:rFonts w:eastAsia="Times New Roman" w:cs="Arial"/>
        <w:color w:val="A6A6A6"/>
        <w:sz w:val="20"/>
        <w:szCs w:val="24"/>
        <w:lang w:eastAsia="x-none"/>
      </w:rPr>
      <w:t>– Acutely Toxic Solids and Liquids</w:t>
    </w:r>
    <w:r>
      <w:rPr>
        <w:rFonts w:eastAsia="Times New Roman" w:cs="Arial"/>
        <w:color w:val="A6A6A6"/>
        <w:sz w:val="20"/>
        <w:szCs w:val="24"/>
        <w:lang w:eastAsia="x-none"/>
      </w:rPr>
      <w:tab/>
    </w:r>
    <w:r w:rsidRPr="00DB0185">
      <w:rPr>
        <w:rFonts w:eastAsia="Times New Roman" w:cs="Arial"/>
        <w:color w:val="A6A6A6"/>
        <w:sz w:val="20"/>
        <w:szCs w:val="24"/>
        <w:lang w:eastAsia="x-none"/>
      </w:rPr>
      <w:t xml:space="preserve"> </w:t>
    </w:r>
    <w:r>
      <w:rPr>
        <w:rFonts w:eastAsia="Times New Roman" w:cs="Arial"/>
        <w:color w:val="A6A6A6"/>
        <w:sz w:val="20"/>
        <w:szCs w:val="24"/>
        <w:lang w:eastAsia="x-none"/>
      </w:rPr>
      <w:t>v1.</w:t>
    </w:r>
    <w:r w:rsidR="00CD4582">
      <w:rPr>
        <w:rFonts w:eastAsia="Times New Roman" w:cs="Arial"/>
        <w:color w:val="A6A6A6"/>
        <w:sz w:val="20"/>
        <w:szCs w:val="24"/>
        <w:lang w:eastAsia="x-none"/>
      </w:rPr>
      <w:t>2</w:t>
    </w:r>
  </w:p>
  <w:p w14:paraId="0DB845EC" w14:textId="643274DA" w:rsidR="00F358F1" w:rsidRPr="00B00C47" w:rsidRDefault="0049201C" w:rsidP="00F4522F">
    <w:pPr>
      <w:tabs>
        <w:tab w:val="right" w:pos="9360"/>
      </w:tabs>
      <w:spacing w:after="0" w:line="240" w:lineRule="auto"/>
      <w:ind w:right="-720"/>
      <w:rPr>
        <w:rFonts w:eastAsia="Times New Roman" w:cs="Arial"/>
        <w:color w:val="A6A6A6"/>
        <w:sz w:val="20"/>
        <w:szCs w:val="24"/>
        <w:lang w:eastAsia="x-none"/>
      </w:rPr>
    </w:pPr>
    <w:r>
      <w:rPr>
        <w:rFonts w:eastAsia="Times New Roman" w:cs="Arial"/>
        <w:color w:val="A6A6A6"/>
        <w:sz w:val="20"/>
        <w:szCs w:val="24"/>
        <w:lang w:eastAsia="x-none"/>
      </w:rPr>
      <w:t>SAN JOSE STATE UNIVERSITY</w:t>
    </w:r>
    <w:r w:rsidR="00F358F1">
      <w:rPr>
        <w:rFonts w:eastAsia="Times New Roman" w:cs="Arial"/>
        <w:color w:val="A6A6A6"/>
        <w:sz w:val="20"/>
        <w:szCs w:val="24"/>
        <w:lang w:eastAsia="x-none"/>
      </w:rPr>
      <w:tab/>
    </w:r>
    <w:r w:rsidR="00F358F1" w:rsidRPr="00B00C47">
      <w:rPr>
        <w:rFonts w:eastAsia="Times New Roman" w:cs="Arial"/>
        <w:noProof/>
        <w:color w:val="A6A6A6"/>
        <w:sz w:val="20"/>
        <w:szCs w:val="24"/>
        <w:lang w:eastAsia="x-none"/>
      </w:rPr>
      <w:t xml:space="preserve">Page </w:t>
    </w:r>
    <w:r w:rsidR="00F358F1" w:rsidRPr="00B00C47">
      <w:rPr>
        <w:rFonts w:eastAsia="Times New Roman" w:cs="Arial"/>
        <w:b/>
        <w:noProof/>
        <w:color w:val="A6A6A6"/>
        <w:sz w:val="20"/>
        <w:szCs w:val="24"/>
        <w:lang w:eastAsia="x-none"/>
      </w:rPr>
      <w:fldChar w:fldCharType="begin"/>
    </w:r>
    <w:r w:rsidR="00F358F1" w:rsidRPr="00B00C47">
      <w:rPr>
        <w:rFonts w:eastAsia="Times New Roman" w:cs="Arial"/>
        <w:b/>
        <w:noProof/>
        <w:color w:val="A6A6A6"/>
        <w:sz w:val="20"/>
        <w:szCs w:val="24"/>
        <w:lang w:eastAsia="x-none"/>
      </w:rPr>
      <w:instrText xml:space="preserve"> PAGE  \* Arabic  \* MERGEFORMAT </w:instrText>
    </w:r>
    <w:r w:rsidR="00F358F1" w:rsidRPr="00B00C47">
      <w:rPr>
        <w:rFonts w:eastAsia="Times New Roman" w:cs="Arial"/>
        <w:b/>
        <w:noProof/>
        <w:color w:val="A6A6A6"/>
        <w:sz w:val="20"/>
        <w:szCs w:val="24"/>
        <w:lang w:eastAsia="x-none"/>
      </w:rPr>
      <w:fldChar w:fldCharType="separate"/>
    </w:r>
    <w:r w:rsidR="00CD4582">
      <w:rPr>
        <w:rFonts w:eastAsia="Times New Roman" w:cs="Arial"/>
        <w:b/>
        <w:noProof/>
        <w:color w:val="A6A6A6"/>
        <w:sz w:val="20"/>
        <w:szCs w:val="24"/>
        <w:lang w:eastAsia="x-none"/>
      </w:rPr>
      <w:t>6</w:t>
    </w:r>
    <w:r w:rsidR="00F358F1" w:rsidRPr="00B00C47">
      <w:rPr>
        <w:rFonts w:eastAsia="Times New Roman" w:cs="Arial"/>
        <w:b/>
        <w:noProof/>
        <w:color w:val="A6A6A6"/>
        <w:sz w:val="20"/>
        <w:szCs w:val="24"/>
        <w:lang w:eastAsia="x-none"/>
      </w:rPr>
      <w:fldChar w:fldCharType="end"/>
    </w:r>
    <w:r w:rsidR="00F358F1" w:rsidRPr="00B00C47">
      <w:rPr>
        <w:rFonts w:eastAsia="Times New Roman" w:cs="Arial"/>
        <w:noProof/>
        <w:color w:val="A6A6A6"/>
        <w:sz w:val="20"/>
        <w:szCs w:val="24"/>
        <w:lang w:eastAsia="x-none"/>
      </w:rPr>
      <w:t xml:space="preserve"> of </w:t>
    </w:r>
    <w:r w:rsidR="00F358F1" w:rsidRPr="00B00C47">
      <w:rPr>
        <w:rFonts w:eastAsia="Times New Roman" w:cs="Arial"/>
        <w:b/>
        <w:noProof/>
        <w:color w:val="A6A6A6"/>
        <w:sz w:val="20"/>
        <w:szCs w:val="24"/>
        <w:lang w:eastAsia="x-none"/>
      </w:rPr>
      <w:fldChar w:fldCharType="begin"/>
    </w:r>
    <w:r w:rsidR="00F358F1" w:rsidRPr="00B00C47">
      <w:rPr>
        <w:rFonts w:eastAsia="Times New Roman" w:cs="Arial"/>
        <w:b/>
        <w:noProof/>
        <w:color w:val="A6A6A6"/>
        <w:sz w:val="20"/>
        <w:szCs w:val="24"/>
        <w:lang w:eastAsia="x-none"/>
      </w:rPr>
      <w:instrText xml:space="preserve"> NUMPAGES  \* Arabic  \* MERGEFORMAT </w:instrText>
    </w:r>
    <w:r w:rsidR="00F358F1" w:rsidRPr="00B00C47">
      <w:rPr>
        <w:rFonts w:eastAsia="Times New Roman" w:cs="Arial"/>
        <w:b/>
        <w:noProof/>
        <w:color w:val="A6A6A6"/>
        <w:sz w:val="20"/>
        <w:szCs w:val="24"/>
        <w:lang w:eastAsia="x-none"/>
      </w:rPr>
      <w:fldChar w:fldCharType="separate"/>
    </w:r>
    <w:r w:rsidR="00CD4582">
      <w:rPr>
        <w:rFonts w:eastAsia="Times New Roman" w:cs="Arial"/>
        <w:b/>
        <w:noProof/>
        <w:color w:val="A6A6A6"/>
        <w:sz w:val="20"/>
        <w:szCs w:val="24"/>
        <w:lang w:eastAsia="x-none"/>
      </w:rPr>
      <w:t>7</w:t>
    </w:r>
    <w:r w:rsidR="00F358F1" w:rsidRPr="00B00C47">
      <w:rPr>
        <w:rFonts w:eastAsia="Times New Roman" w:cs="Arial"/>
        <w:b/>
        <w:noProof/>
        <w:color w:val="A6A6A6"/>
        <w:sz w:val="20"/>
        <w:szCs w:val="24"/>
        <w:lang w:eastAsia="x-none"/>
      </w:rPr>
      <w:fldChar w:fldCharType="end"/>
    </w:r>
  </w:p>
  <w:p w14:paraId="715F26A1" w14:textId="77777777" w:rsidR="00F358F1" w:rsidRPr="004A2220" w:rsidRDefault="00F358F1" w:rsidP="005C3B86">
    <w:pPr>
      <w:pStyle w:val="Footer"/>
      <w:ind w:right="-720"/>
      <w:jc w:val="right"/>
      <w:rPr>
        <w:rFonts w:ascii="Calibri" w:hAnsi="Calibri" w:cs="Arial"/>
        <w:sz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5E76C" w14:textId="77777777" w:rsidR="0044443D" w:rsidRDefault="004444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25ABF" w14:textId="77777777" w:rsidR="00F358F1" w:rsidRDefault="00F358F1" w:rsidP="00087560">
      <w:pPr>
        <w:spacing w:after="0" w:line="240" w:lineRule="auto"/>
      </w:pPr>
      <w:r>
        <w:separator/>
      </w:r>
    </w:p>
  </w:footnote>
  <w:footnote w:type="continuationSeparator" w:id="0">
    <w:p w14:paraId="3136F822" w14:textId="77777777" w:rsidR="00F358F1" w:rsidRDefault="00F358F1"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A506C" w14:textId="77777777" w:rsidR="0044443D" w:rsidRDefault="004444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120A6" w14:textId="34A8CA36" w:rsidR="00F358F1" w:rsidRDefault="00F358F1" w:rsidP="00C27D84">
    <w:pPr>
      <w:pStyle w:val="Header"/>
      <w:ind w:left="-720"/>
    </w:pPr>
    <w:bookmarkStart w:id="6" w:name="_GoBack"/>
    <w:bookmarkEnd w:id="6"/>
    <w:r>
      <w:rPr>
        <w:noProof/>
        <w:sz w:val="32"/>
        <w:szCs w:val="32"/>
        <w:lang w:val="en-US" w:eastAsia="en-US"/>
      </w:rPr>
      <w:drawing>
        <wp:anchor distT="0" distB="0" distL="114300" distR="114300" simplePos="0" relativeHeight="251659264" behindDoc="1" locked="0" layoutInCell="1" allowOverlap="1" wp14:anchorId="4A6241B3" wp14:editId="367F3FD4">
          <wp:simplePos x="0" y="0"/>
          <wp:positionH relativeFrom="column">
            <wp:posOffset>0</wp:posOffset>
          </wp:positionH>
          <wp:positionV relativeFrom="paragraph">
            <wp:posOffset>0</wp:posOffset>
          </wp:positionV>
          <wp:extent cx="2296685" cy="428625"/>
          <wp:effectExtent l="0" t="0" r="889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7504" cy="428778"/>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5502A" w14:textId="77777777" w:rsidR="0044443D" w:rsidRDefault="00444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7"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F07347"/>
    <w:multiLevelType w:val="hybridMultilevel"/>
    <w:tmpl w:val="71CAE0A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2"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04234C"/>
    <w:multiLevelType w:val="hybridMultilevel"/>
    <w:tmpl w:val="C97A034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EF5FD4"/>
    <w:multiLevelType w:val="hybridMultilevel"/>
    <w:tmpl w:val="62EEB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C6F18"/>
    <w:multiLevelType w:val="hybridMultilevel"/>
    <w:tmpl w:val="B7FA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9F10643"/>
    <w:multiLevelType w:val="hybridMultilevel"/>
    <w:tmpl w:val="2AEE3874"/>
    <w:lvl w:ilvl="0" w:tplc="04208CD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0601FD"/>
    <w:multiLevelType w:val="hybridMultilevel"/>
    <w:tmpl w:val="49A81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15A97"/>
    <w:multiLevelType w:val="hybridMultilevel"/>
    <w:tmpl w:val="44CA7B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27A126C"/>
    <w:multiLevelType w:val="hybridMultilevel"/>
    <w:tmpl w:val="F6E08DB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7" w15:restartNumberingAfterBreak="0">
    <w:nsid w:val="4FE952C2"/>
    <w:multiLevelType w:val="hybridMultilevel"/>
    <w:tmpl w:val="65FCE57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07A2260"/>
    <w:multiLevelType w:val="hybridMultilevel"/>
    <w:tmpl w:val="C1684686"/>
    <w:lvl w:ilvl="0" w:tplc="92348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536137"/>
    <w:multiLevelType w:val="hybridMultilevel"/>
    <w:tmpl w:val="6D4EBC2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1B66BB"/>
    <w:multiLevelType w:val="hybridMultilevel"/>
    <w:tmpl w:val="C9CC2E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DF6C27"/>
    <w:multiLevelType w:val="hybridMultilevel"/>
    <w:tmpl w:val="B880BE3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976AA0"/>
    <w:multiLevelType w:val="hybridMultilevel"/>
    <w:tmpl w:val="BFBE75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E44F06"/>
    <w:multiLevelType w:val="hybridMultilevel"/>
    <w:tmpl w:val="DED096CE"/>
    <w:lvl w:ilvl="0" w:tplc="04090011">
      <w:start w:val="1"/>
      <w:numFmt w:val="decimal"/>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9320A2"/>
    <w:multiLevelType w:val="hybridMultilevel"/>
    <w:tmpl w:val="AA644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4" w15:restartNumberingAfterBreak="0">
    <w:nsid w:val="775F42A6"/>
    <w:multiLevelType w:val="hybridMultilevel"/>
    <w:tmpl w:val="36AA7F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A752CDE"/>
    <w:multiLevelType w:val="hybridMultilevel"/>
    <w:tmpl w:val="D314374C"/>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706DBB"/>
    <w:multiLevelType w:val="hybridMultilevel"/>
    <w:tmpl w:val="2A2C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2"/>
  </w:num>
  <w:num w:numId="3">
    <w:abstractNumId w:val="7"/>
  </w:num>
  <w:num w:numId="4">
    <w:abstractNumId w:val="36"/>
  </w:num>
  <w:num w:numId="5">
    <w:abstractNumId w:val="38"/>
  </w:num>
  <w:num w:numId="6">
    <w:abstractNumId w:val="25"/>
  </w:num>
  <w:num w:numId="7">
    <w:abstractNumId w:val="5"/>
  </w:num>
  <w:num w:numId="8">
    <w:abstractNumId w:val="4"/>
  </w:num>
  <w:num w:numId="9">
    <w:abstractNumId w:val="9"/>
  </w:num>
  <w:num w:numId="10">
    <w:abstractNumId w:val="0"/>
  </w:num>
  <w:num w:numId="11">
    <w:abstractNumId w:val="13"/>
  </w:num>
  <w:num w:numId="12">
    <w:abstractNumId w:val="17"/>
  </w:num>
  <w:num w:numId="13">
    <w:abstractNumId w:val="14"/>
  </w:num>
  <w:num w:numId="14">
    <w:abstractNumId w:val="12"/>
  </w:num>
  <w:num w:numId="15">
    <w:abstractNumId w:val="10"/>
  </w:num>
  <w:num w:numId="16">
    <w:abstractNumId w:val="3"/>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5"/>
  </w:num>
  <w:num w:numId="23">
    <w:abstractNumId w:val="2"/>
  </w:num>
  <w:num w:numId="24">
    <w:abstractNumId w:val="33"/>
  </w:num>
  <w:num w:numId="25">
    <w:abstractNumId w:val="11"/>
  </w:num>
  <w:num w:numId="26">
    <w:abstractNumId w:val="6"/>
  </w:num>
  <w:num w:numId="27">
    <w:abstractNumId w:val="26"/>
  </w:num>
  <w:num w:numId="28">
    <w:abstractNumId w:val="41"/>
  </w:num>
  <w:num w:numId="29">
    <w:abstractNumId w:val="29"/>
  </w:num>
  <w:num w:numId="30">
    <w:abstractNumId w:val="21"/>
  </w:num>
  <w:num w:numId="31">
    <w:abstractNumId w:val="20"/>
  </w:num>
  <w:num w:numId="32">
    <w:abstractNumId w:val="40"/>
  </w:num>
  <w:num w:numId="33">
    <w:abstractNumId w:val="46"/>
  </w:num>
  <w:num w:numId="34">
    <w:abstractNumId w:val="44"/>
  </w:num>
  <w:num w:numId="35">
    <w:abstractNumId w:val="22"/>
  </w:num>
  <w:num w:numId="36">
    <w:abstractNumId w:val="39"/>
  </w:num>
  <w:num w:numId="37">
    <w:abstractNumId w:val="37"/>
  </w:num>
  <w:num w:numId="38">
    <w:abstractNumId w:val="28"/>
  </w:num>
  <w:num w:numId="39">
    <w:abstractNumId w:val="30"/>
  </w:num>
  <w:num w:numId="40">
    <w:abstractNumId w:val="23"/>
  </w:num>
  <w:num w:numId="41">
    <w:abstractNumId w:val="18"/>
  </w:num>
  <w:num w:numId="42">
    <w:abstractNumId w:val="27"/>
  </w:num>
  <w:num w:numId="43">
    <w:abstractNumId w:val="8"/>
  </w:num>
  <w:num w:numId="44">
    <w:abstractNumId w:val="34"/>
  </w:num>
  <w:num w:numId="45">
    <w:abstractNumId w:val="31"/>
  </w:num>
  <w:num w:numId="46">
    <w:abstractNumId w:val="24"/>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06B78"/>
    <w:rsid w:val="00012EC3"/>
    <w:rsid w:val="00015BF5"/>
    <w:rsid w:val="00016909"/>
    <w:rsid w:val="00017BC4"/>
    <w:rsid w:val="000221BC"/>
    <w:rsid w:val="0002469C"/>
    <w:rsid w:val="00025BC5"/>
    <w:rsid w:val="000352F0"/>
    <w:rsid w:val="00036129"/>
    <w:rsid w:val="0003761F"/>
    <w:rsid w:val="00040391"/>
    <w:rsid w:val="00041174"/>
    <w:rsid w:val="00041598"/>
    <w:rsid w:val="00045896"/>
    <w:rsid w:val="0005484B"/>
    <w:rsid w:val="0006506E"/>
    <w:rsid w:val="00076ED2"/>
    <w:rsid w:val="0008152F"/>
    <w:rsid w:val="00081A3E"/>
    <w:rsid w:val="00084556"/>
    <w:rsid w:val="00087560"/>
    <w:rsid w:val="000918A2"/>
    <w:rsid w:val="00092A32"/>
    <w:rsid w:val="000A38E9"/>
    <w:rsid w:val="000A72B3"/>
    <w:rsid w:val="000B63BD"/>
    <w:rsid w:val="000C084C"/>
    <w:rsid w:val="000C3C1D"/>
    <w:rsid w:val="000C679F"/>
    <w:rsid w:val="000D2AF0"/>
    <w:rsid w:val="000D3817"/>
    <w:rsid w:val="000E18FD"/>
    <w:rsid w:val="000E1E3E"/>
    <w:rsid w:val="000F5247"/>
    <w:rsid w:val="000F63D1"/>
    <w:rsid w:val="0010320D"/>
    <w:rsid w:val="001073A4"/>
    <w:rsid w:val="001154FB"/>
    <w:rsid w:val="00116DCB"/>
    <w:rsid w:val="00123CDC"/>
    <w:rsid w:val="00126778"/>
    <w:rsid w:val="00131E04"/>
    <w:rsid w:val="001337FA"/>
    <w:rsid w:val="001357E2"/>
    <w:rsid w:val="00135A70"/>
    <w:rsid w:val="00143957"/>
    <w:rsid w:val="00145FF0"/>
    <w:rsid w:val="00146858"/>
    <w:rsid w:val="0014718A"/>
    <w:rsid w:val="001500EE"/>
    <w:rsid w:val="001519D6"/>
    <w:rsid w:val="00152DF1"/>
    <w:rsid w:val="001534F3"/>
    <w:rsid w:val="00153A12"/>
    <w:rsid w:val="00163BE1"/>
    <w:rsid w:val="0017182A"/>
    <w:rsid w:val="00173448"/>
    <w:rsid w:val="0017551B"/>
    <w:rsid w:val="0017726A"/>
    <w:rsid w:val="001776F2"/>
    <w:rsid w:val="00182AEA"/>
    <w:rsid w:val="00183991"/>
    <w:rsid w:val="00186389"/>
    <w:rsid w:val="00186622"/>
    <w:rsid w:val="00194EA2"/>
    <w:rsid w:val="00195174"/>
    <w:rsid w:val="00196CB4"/>
    <w:rsid w:val="00197E0A"/>
    <w:rsid w:val="001A3888"/>
    <w:rsid w:val="001C1AD8"/>
    <w:rsid w:val="001D1F03"/>
    <w:rsid w:val="001D2ACD"/>
    <w:rsid w:val="001D4EEC"/>
    <w:rsid w:val="001D7460"/>
    <w:rsid w:val="001E0DB4"/>
    <w:rsid w:val="001E135F"/>
    <w:rsid w:val="001E1D65"/>
    <w:rsid w:val="001E26B7"/>
    <w:rsid w:val="001E76AD"/>
    <w:rsid w:val="001F6136"/>
    <w:rsid w:val="002046AD"/>
    <w:rsid w:val="002059E0"/>
    <w:rsid w:val="002147DD"/>
    <w:rsid w:val="00214D7C"/>
    <w:rsid w:val="00215DF9"/>
    <w:rsid w:val="00221273"/>
    <w:rsid w:val="002218DA"/>
    <w:rsid w:val="00233F69"/>
    <w:rsid w:val="00235E68"/>
    <w:rsid w:val="00236901"/>
    <w:rsid w:val="00253B39"/>
    <w:rsid w:val="00261078"/>
    <w:rsid w:val="00273D83"/>
    <w:rsid w:val="00281CA4"/>
    <w:rsid w:val="002850F2"/>
    <w:rsid w:val="002924F7"/>
    <w:rsid w:val="00292F7A"/>
    <w:rsid w:val="00294772"/>
    <w:rsid w:val="002B4834"/>
    <w:rsid w:val="002B6763"/>
    <w:rsid w:val="002C20EB"/>
    <w:rsid w:val="002D12D2"/>
    <w:rsid w:val="002D3D24"/>
    <w:rsid w:val="002D7387"/>
    <w:rsid w:val="002E4E02"/>
    <w:rsid w:val="002F029A"/>
    <w:rsid w:val="00304144"/>
    <w:rsid w:val="00306131"/>
    <w:rsid w:val="0031545C"/>
    <w:rsid w:val="00315AC0"/>
    <w:rsid w:val="00323BA7"/>
    <w:rsid w:val="00331DA7"/>
    <w:rsid w:val="00332A11"/>
    <w:rsid w:val="00343341"/>
    <w:rsid w:val="003442C6"/>
    <w:rsid w:val="00345446"/>
    <w:rsid w:val="00347FF7"/>
    <w:rsid w:val="00364C97"/>
    <w:rsid w:val="00365BA6"/>
    <w:rsid w:val="00367F9D"/>
    <w:rsid w:val="0037249E"/>
    <w:rsid w:val="0039722E"/>
    <w:rsid w:val="003A5323"/>
    <w:rsid w:val="003A5676"/>
    <w:rsid w:val="003A5AC6"/>
    <w:rsid w:val="003A6EE1"/>
    <w:rsid w:val="003B16EF"/>
    <w:rsid w:val="003B303C"/>
    <w:rsid w:val="003B3DC7"/>
    <w:rsid w:val="003B461B"/>
    <w:rsid w:val="003B6466"/>
    <w:rsid w:val="003B7B67"/>
    <w:rsid w:val="003C16AE"/>
    <w:rsid w:val="003C2FA2"/>
    <w:rsid w:val="003C655D"/>
    <w:rsid w:val="003D2404"/>
    <w:rsid w:val="003E01A4"/>
    <w:rsid w:val="003E1478"/>
    <w:rsid w:val="003E4029"/>
    <w:rsid w:val="003F043A"/>
    <w:rsid w:val="003F548D"/>
    <w:rsid w:val="003F736E"/>
    <w:rsid w:val="003F7AD0"/>
    <w:rsid w:val="003F7F5D"/>
    <w:rsid w:val="00407D45"/>
    <w:rsid w:val="00410978"/>
    <w:rsid w:val="0041253E"/>
    <w:rsid w:val="00413433"/>
    <w:rsid w:val="00413ADE"/>
    <w:rsid w:val="0041599B"/>
    <w:rsid w:val="00415E31"/>
    <w:rsid w:val="00424CB4"/>
    <w:rsid w:val="00425350"/>
    <w:rsid w:val="0043107C"/>
    <w:rsid w:val="0044122B"/>
    <w:rsid w:val="0044280C"/>
    <w:rsid w:val="0044443D"/>
    <w:rsid w:val="00447570"/>
    <w:rsid w:val="00455715"/>
    <w:rsid w:val="00471A74"/>
    <w:rsid w:val="00476CD1"/>
    <w:rsid w:val="004827E8"/>
    <w:rsid w:val="00485963"/>
    <w:rsid w:val="004866D4"/>
    <w:rsid w:val="00486B92"/>
    <w:rsid w:val="004903C4"/>
    <w:rsid w:val="00490B12"/>
    <w:rsid w:val="004913CC"/>
    <w:rsid w:val="0049201C"/>
    <w:rsid w:val="00492EAE"/>
    <w:rsid w:val="00494E99"/>
    <w:rsid w:val="004957C4"/>
    <w:rsid w:val="00495D6D"/>
    <w:rsid w:val="00496506"/>
    <w:rsid w:val="00496CA3"/>
    <w:rsid w:val="004A011D"/>
    <w:rsid w:val="004A2220"/>
    <w:rsid w:val="004A5373"/>
    <w:rsid w:val="004B0F7A"/>
    <w:rsid w:val="004B2B1D"/>
    <w:rsid w:val="004B5505"/>
    <w:rsid w:val="004C0377"/>
    <w:rsid w:val="004C04CA"/>
    <w:rsid w:val="004C242F"/>
    <w:rsid w:val="004C3BC2"/>
    <w:rsid w:val="004D2BBD"/>
    <w:rsid w:val="004D34AA"/>
    <w:rsid w:val="004D34B3"/>
    <w:rsid w:val="004E1360"/>
    <w:rsid w:val="004E6B33"/>
    <w:rsid w:val="004F1E9B"/>
    <w:rsid w:val="004F3794"/>
    <w:rsid w:val="004F4EA8"/>
    <w:rsid w:val="004F51AB"/>
    <w:rsid w:val="004F66EC"/>
    <w:rsid w:val="004F6F5B"/>
    <w:rsid w:val="00510FC8"/>
    <w:rsid w:val="00513BB3"/>
    <w:rsid w:val="0051545A"/>
    <w:rsid w:val="0051792B"/>
    <w:rsid w:val="0052341A"/>
    <w:rsid w:val="00523AE0"/>
    <w:rsid w:val="005300D5"/>
    <w:rsid w:val="00530A14"/>
    <w:rsid w:val="005345C8"/>
    <w:rsid w:val="005347D6"/>
    <w:rsid w:val="00540279"/>
    <w:rsid w:val="00542A6E"/>
    <w:rsid w:val="00546C4B"/>
    <w:rsid w:val="00547FC0"/>
    <w:rsid w:val="00550151"/>
    <w:rsid w:val="00553687"/>
    <w:rsid w:val="00554D99"/>
    <w:rsid w:val="005565E4"/>
    <w:rsid w:val="005647F7"/>
    <w:rsid w:val="00565EA4"/>
    <w:rsid w:val="00566094"/>
    <w:rsid w:val="00567DFC"/>
    <w:rsid w:val="00573848"/>
    <w:rsid w:val="00575272"/>
    <w:rsid w:val="0058226F"/>
    <w:rsid w:val="00584529"/>
    <w:rsid w:val="005909AD"/>
    <w:rsid w:val="00593C9D"/>
    <w:rsid w:val="005A6517"/>
    <w:rsid w:val="005B0E63"/>
    <w:rsid w:val="005B1CAF"/>
    <w:rsid w:val="005B24A1"/>
    <w:rsid w:val="005C3B86"/>
    <w:rsid w:val="005D0E52"/>
    <w:rsid w:val="005D2632"/>
    <w:rsid w:val="005E03AC"/>
    <w:rsid w:val="005E6B9C"/>
    <w:rsid w:val="005E7B2E"/>
    <w:rsid w:val="005E7E1A"/>
    <w:rsid w:val="005F762C"/>
    <w:rsid w:val="0060458A"/>
    <w:rsid w:val="00606DB3"/>
    <w:rsid w:val="00617E72"/>
    <w:rsid w:val="006228DE"/>
    <w:rsid w:val="00622BFA"/>
    <w:rsid w:val="00624DC6"/>
    <w:rsid w:val="006310E8"/>
    <w:rsid w:val="00636709"/>
    <w:rsid w:val="006424EF"/>
    <w:rsid w:val="00643E48"/>
    <w:rsid w:val="00644017"/>
    <w:rsid w:val="006443CB"/>
    <w:rsid w:val="00656F6B"/>
    <w:rsid w:val="00663985"/>
    <w:rsid w:val="00663A54"/>
    <w:rsid w:val="00663D80"/>
    <w:rsid w:val="006652D6"/>
    <w:rsid w:val="0067200E"/>
    <w:rsid w:val="00674681"/>
    <w:rsid w:val="00680632"/>
    <w:rsid w:val="00680E7E"/>
    <w:rsid w:val="00683492"/>
    <w:rsid w:val="00684E4A"/>
    <w:rsid w:val="006870BD"/>
    <w:rsid w:val="0069314F"/>
    <w:rsid w:val="006A1F06"/>
    <w:rsid w:val="006A4B9E"/>
    <w:rsid w:val="006A7250"/>
    <w:rsid w:val="006B08A3"/>
    <w:rsid w:val="006B6A67"/>
    <w:rsid w:val="006C154A"/>
    <w:rsid w:val="006C2286"/>
    <w:rsid w:val="006C31D1"/>
    <w:rsid w:val="006C6655"/>
    <w:rsid w:val="006E31A0"/>
    <w:rsid w:val="006E3E44"/>
    <w:rsid w:val="006E7120"/>
    <w:rsid w:val="006E7523"/>
    <w:rsid w:val="006E7B83"/>
    <w:rsid w:val="006E7C52"/>
    <w:rsid w:val="006F0BAD"/>
    <w:rsid w:val="006F0BC6"/>
    <w:rsid w:val="006F49EE"/>
    <w:rsid w:val="006F7127"/>
    <w:rsid w:val="007123FB"/>
    <w:rsid w:val="00713B61"/>
    <w:rsid w:val="00723E33"/>
    <w:rsid w:val="0073099E"/>
    <w:rsid w:val="0073163B"/>
    <w:rsid w:val="0074060F"/>
    <w:rsid w:val="00740C9F"/>
    <w:rsid w:val="0074107E"/>
    <w:rsid w:val="00743159"/>
    <w:rsid w:val="00744C49"/>
    <w:rsid w:val="00751677"/>
    <w:rsid w:val="00751FDA"/>
    <w:rsid w:val="00752CBF"/>
    <w:rsid w:val="00755924"/>
    <w:rsid w:val="00762FB7"/>
    <w:rsid w:val="00765CCC"/>
    <w:rsid w:val="00780028"/>
    <w:rsid w:val="007816F9"/>
    <w:rsid w:val="00787D16"/>
    <w:rsid w:val="007977AD"/>
    <w:rsid w:val="00797966"/>
    <w:rsid w:val="007A0631"/>
    <w:rsid w:val="007A762E"/>
    <w:rsid w:val="007B0BAF"/>
    <w:rsid w:val="007B2FF6"/>
    <w:rsid w:val="007C2B59"/>
    <w:rsid w:val="007C717E"/>
    <w:rsid w:val="007D02C1"/>
    <w:rsid w:val="007D51D8"/>
    <w:rsid w:val="007E353D"/>
    <w:rsid w:val="007E55A9"/>
    <w:rsid w:val="007E6636"/>
    <w:rsid w:val="007E7B12"/>
    <w:rsid w:val="00800979"/>
    <w:rsid w:val="00806E48"/>
    <w:rsid w:val="00810288"/>
    <w:rsid w:val="00812441"/>
    <w:rsid w:val="008258B2"/>
    <w:rsid w:val="00837E74"/>
    <w:rsid w:val="008451FD"/>
    <w:rsid w:val="008453E0"/>
    <w:rsid w:val="008538B0"/>
    <w:rsid w:val="00862A73"/>
    <w:rsid w:val="00871E05"/>
    <w:rsid w:val="00872744"/>
    <w:rsid w:val="0087372F"/>
    <w:rsid w:val="00877355"/>
    <w:rsid w:val="008816F8"/>
    <w:rsid w:val="00884115"/>
    <w:rsid w:val="00886022"/>
    <w:rsid w:val="00886395"/>
    <w:rsid w:val="00890D7E"/>
    <w:rsid w:val="00891ECC"/>
    <w:rsid w:val="008963BA"/>
    <w:rsid w:val="008A1BA4"/>
    <w:rsid w:val="008A76B2"/>
    <w:rsid w:val="008B2691"/>
    <w:rsid w:val="008D118A"/>
    <w:rsid w:val="008D167D"/>
    <w:rsid w:val="008D51A0"/>
    <w:rsid w:val="008E43AA"/>
    <w:rsid w:val="008E461F"/>
    <w:rsid w:val="009000EF"/>
    <w:rsid w:val="009011FB"/>
    <w:rsid w:val="0091027D"/>
    <w:rsid w:val="009204F0"/>
    <w:rsid w:val="00923295"/>
    <w:rsid w:val="009441AB"/>
    <w:rsid w:val="00945812"/>
    <w:rsid w:val="0095295D"/>
    <w:rsid w:val="009567CA"/>
    <w:rsid w:val="00956D0A"/>
    <w:rsid w:val="00957B81"/>
    <w:rsid w:val="00962D2B"/>
    <w:rsid w:val="00970CD7"/>
    <w:rsid w:val="00973169"/>
    <w:rsid w:val="00975091"/>
    <w:rsid w:val="009754E8"/>
    <w:rsid w:val="00981238"/>
    <w:rsid w:val="009833AF"/>
    <w:rsid w:val="00985947"/>
    <w:rsid w:val="00986BA5"/>
    <w:rsid w:val="009A0248"/>
    <w:rsid w:val="009A0C75"/>
    <w:rsid w:val="009A6384"/>
    <w:rsid w:val="009B409F"/>
    <w:rsid w:val="009C04F5"/>
    <w:rsid w:val="009C30F4"/>
    <w:rsid w:val="009C39E2"/>
    <w:rsid w:val="009C773F"/>
    <w:rsid w:val="009D440B"/>
    <w:rsid w:val="009D6576"/>
    <w:rsid w:val="009D76C0"/>
    <w:rsid w:val="009E0B3E"/>
    <w:rsid w:val="009E3803"/>
    <w:rsid w:val="009F470C"/>
    <w:rsid w:val="00A01C90"/>
    <w:rsid w:val="00A023A0"/>
    <w:rsid w:val="00A029D2"/>
    <w:rsid w:val="00A03940"/>
    <w:rsid w:val="00A26096"/>
    <w:rsid w:val="00A26B18"/>
    <w:rsid w:val="00A33A0B"/>
    <w:rsid w:val="00A34958"/>
    <w:rsid w:val="00A40DF3"/>
    <w:rsid w:val="00A43667"/>
    <w:rsid w:val="00A474BA"/>
    <w:rsid w:val="00A57996"/>
    <w:rsid w:val="00A60FE7"/>
    <w:rsid w:val="00A715B9"/>
    <w:rsid w:val="00A724DB"/>
    <w:rsid w:val="00A75F20"/>
    <w:rsid w:val="00A77BA3"/>
    <w:rsid w:val="00A8089C"/>
    <w:rsid w:val="00A857B0"/>
    <w:rsid w:val="00AB26DA"/>
    <w:rsid w:val="00AC11C6"/>
    <w:rsid w:val="00AD2C93"/>
    <w:rsid w:val="00AD4292"/>
    <w:rsid w:val="00AE59E4"/>
    <w:rsid w:val="00AE5B0A"/>
    <w:rsid w:val="00AE69F3"/>
    <w:rsid w:val="00B0065C"/>
    <w:rsid w:val="00B03B8B"/>
    <w:rsid w:val="00B12089"/>
    <w:rsid w:val="00B14C2A"/>
    <w:rsid w:val="00B20641"/>
    <w:rsid w:val="00B226C3"/>
    <w:rsid w:val="00B3238F"/>
    <w:rsid w:val="00B3423D"/>
    <w:rsid w:val="00B416F5"/>
    <w:rsid w:val="00B4368D"/>
    <w:rsid w:val="00B445DF"/>
    <w:rsid w:val="00B46C71"/>
    <w:rsid w:val="00B46DCA"/>
    <w:rsid w:val="00B47EDC"/>
    <w:rsid w:val="00B508E8"/>
    <w:rsid w:val="00B51E35"/>
    <w:rsid w:val="00B54CD8"/>
    <w:rsid w:val="00B56340"/>
    <w:rsid w:val="00B60624"/>
    <w:rsid w:val="00B6090D"/>
    <w:rsid w:val="00B8048B"/>
    <w:rsid w:val="00B86C0C"/>
    <w:rsid w:val="00B8719F"/>
    <w:rsid w:val="00BA1C6E"/>
    <w:rsid w:val="00BA3AD6"/>
    <w:rsid w:val="00BB080B"/>
    <w:rsid w:val="00BB1107"/>
    <w:rsid w:val="00BB1482"/>
    <w:rsid w:val="00BB2207"/>
    <w:rsid w:val="00BB65A7"/>
    <w:rsid w:val="00BC209A"/>
    <w:rsid w:val="00BC74D6"/>
    <w:rsid w:val="00BC7A0B"/>
    <w:rsid w:val="00BD0ADD"/>
    <w:rsid w:val="00BD2DD6"/>
    <w:rsid w:val="00BE0EC7"/>
    <w:rsid w:val="00BE2EBB"/>
    <w:rsid w:val="00BE4F54"/>
    <w:rsid w:val="00C068FF"/>
    <w:rsid w:val="00C07F58"/>
    <w:rsid w:val="00C1582F"/>
    <w:rsid w:val="00C16EBA"/>
    <w:rsid w:val="00C20215"/>
    <w:rsid w:val="00C21EAE"/>
    <w:rsid w:val="00C2244D"/>
    <w:rsid w:val="00C27D84"/>
    <w:rsid w:val="00C36C06"/>
    <w:rsid w:val="00C36D54"/>
    <w:rsid w:val="00C41ED6"/>
    <w:rsid w:val="00C52E12"/>
    <w:rsid w:val="00C5756C"/>
    <w:rsid w:val="00C6210E"/>
    <w:rsid w:val="00C73E57"/>
    <w:rsid w:val="00C758D4"/>
    <w:rsid w:val="00C85D05"/>
    <w:rsid w:val="00C90221"/>
    <w:rsid w:val="00C925DA"/>
    <w:rsid w:val="00C93A8D"/>
    <w:rsid w:val="00CB4BAC"/>
    <w:rsid w:val="00CC2684"/>
    <w:rsid w:val="00CC4AC9"/>
    <w:rsid w:val="00CC5620"/>
    <w:rsid w:val="00CC5C55"/>
    <w:rsid w:val="00CC7D12"/>
    <w:rsid w:val="00CC7FA9"/>
    <w:rsid w:val="00CD1120"/>
    <w:rsid w:val="00CD4582"/>
    <w:rsid w:val="00CE12B7"/>
    <w:rsid w:val="00CE7DEA"/>
    <w:rsid w:val="00CE7E77"/>
    <w:rsid w:val="00CF234B"/>
    <w:rsid w:val="00CF3070"/>
    <w:rsid w:val="00CF525A"/>
    <w:rsid w:val="00CF6448"/>
    <w:rsid w:val="00D03270"/>
    <w:rsid w:val="00D04840"/>
    <w:rsid w:val="00D06A88"/>
    <w:rsid w:val="00D07A9A"/>
    <w:rsid w:val="00D109A9"/>
    <w:rsid w:val="00D10BC7"/>
    <w:rsid w:val="00D11BCB"/>
    <w:rsid w:val="00D124EF"/>
    <w:rsid w:val="00D13EEF"/>
    <w:rsid w:val="00D170FD"/>
    <w:rsid w:val="00D2329B"/>
    <w:rsid w:val="00D23DC8"/>
    <w:rsid w:val="00D30D90"/>
    <w:rsid w:val="00D32569"/>
    <w:rsid w:val="00D334FA"/>
    <w:rsid w:val="00D3720D"/>
    <w:rsid w:val="00D37291"/>
    <w:rsid w:val="00D440F7"/>
    <w:rsid w:val="00D457F7"/>
    <w:rsid w:val="00D55428"/>
    <w:rsid w:val="00D557AB"/>
    <w:rsid w:val="00D63E75"/>
    <w:rsid w:val="00D64C65"/>
    <w:rsid w:val="00D7053F"/>
    <w:rsid w:val="00D71AA1"/>
    <w:rsid w:val="00D76024"/>
    <w:rsid w:val="00D76653"/>
    <w:rsid w:val="00D9589B"/>
    <w:rsid w:val="00DA41E3"/>
    <w:rsid w:val="00DB0185"/>
    <w:rsid w:val="00DB4890"/>
    <w:rsid w:val="00DB74FF"/>
    <w:rsid w:val="00DC1F53"/>
    <w:rsid w:val="00DD04C5"/>
    <w:rsid w:val="00DD13C0"/>
    <w:rsid w:val="00DD31EC"/>
    <w:rsid w:val="00DD3C16"/>
    <w:rsid w:val="00DD7CA1"/>
    <w:rsid w:val="00DE3E52"/>
    <w:rsid w:val="00DE6D45"/>
    <w:rsid w:val="00E03305"/>
    <w:rsid w:val="00E11F9B"/>
    <w:rsid w:val="00E1355C"/>
    <w:rsid w:val="00E239DB"/>
    <w:rsid w:val="00E321A5"/>
    <w:rsid w:val="00E408A4"/>
    <w:rsid w:val="00E41845"/>
    <w:rsid w:val="00E41FEC"/>
    <w:rsid w:val="00E6592F"/>
    <w:rsid w:val="00E6747F"/>
    <w:rsid w:val="00E73623"/>
    <w:rsid w:val="00E82D75"/>
    <w:rsid w:val="00E84A71"/>
    <w:rsid w:val="00E93F45"/>
    <w:rsid w:val="00E96493"/>
    <w:rsid w:val="00E97215"/>
    <w:rsid w:val="00EA67DA"/>
    <w:rsid w:val="00EB005A"/>
    <w:rsid w:val="00EB59C4"/>
    <w:rsid w:val="00EB7723"/>
    <w:rsid w:val="00ED340F"/>
    <w:rsid w:val="00ED50C4"/>
    <w:rsid w:val="00EE05D7"/>
    <w:rsid w:val="00EE1D0C"/>
    <w:rsid w:val="00EF30FF"/>
    <w:rsid w:val="00EF3357"/>
    <w:rsid w:val="00EF73F1"/>
    <w:rsid w:val="00F00A70"/>
    <w:rsid w:val="00F0403B"/>
    <w:rsid w:val="00F14127"/>
    <w:rsid w:val="00F1622B"/>
    <w:rsid w:val="00F21C81"/>
    <w:rsid w:val="00F234CC"/>
    <w:rsid w:val="00F358F1"/>
    <w:rsid w:val="00F370DE"/>
    <w:rsid w:val="00F44552"/>
    <w:rsid w:val="00F4522F"/>
    <w:rsid w:val="00F601EF"/>
    <w:rsid w:val="00F62654"/>
    <w:rsid w:val="00F70586"/>
    <w:rsid w:val="00F94629"/>
    <w:rsid w:val="00F976A1"/>
    <w:rsid w:val="00FA1113"/>
    <w:rsid w:val="00FA347F"/>
    <w:rsid w:val="00FA573B"/>
    <w:rsid w:val="00FA5FCF"/>
    <w:rsid w:val="00FA670A"/>
    <w:rsid w:val="00FB452B"/>
    <w:rsid w:val="00FB6368"/>
    <w:rsid w:val="00FD3780"/>
    <w:rsid w:val="00FD7627"/>
    <w:rsid w:val="00FE0AC5"/>
    <w:rsid w:val="00FE24CC"/>
    <w:rsid w:val="00FE29DD"/>
    <w:rsid w:val="00FE59DC"/>
    <w:rsid w:val="00FE5CDC"/>
    <w:rsid w:val="00FF016E"/>
    <w:rsid w:val="00FF1848"/>
    <w:rsid w:val="00FF300E"/>
    <w:rsid w:val="00FF3062"/>
    <w:rsid w:val="00FF3583"/>
    <w:rsid w:val="00FF41AE"/>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C606000"/>
  <w15:docId w15:val="{76F8C79C-8814-474D-9574-99327912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hyperlink" Target="http://www.science.sjsu.edu/safety/HazWasteForm.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jsu.edu/fdo/departments/ehs/lab/Chemical_Hygiene_Pla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hs@sjsu.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canr.edu/sites/ucehs/files/13389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sha.gov/Publications/HazComm_QuickCard_Pictogram.html" TargetMode="External"/><Relationship Id="rId23" Type="http://schemas.openxmlformats.org/officeDocument/2006/relationships/fontTable" Target="fontTable.xml"/><Relationship Id="rId10" Type="http://schemas.openxmlformats.org/officeDocument/2006/relationships/hyperlink" Target="https://msdsmanagement.msdsonline.com/8511b604-100d-449a-9a6b-366eff19da04/ebinder/?nas=Tr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hs@sjsu.edu?subject=Carcinogens%20air%20monitoring%20request" TargetMode="External"/><Relationship Id="rId14" Type="http://schemas.openxmlformats.org/officeDocument/2006/relationships/hyperlink" Target="https://www.epa.gov/sites/production/files/2016-01/documents/hw_listref_sep2012.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99AF-A5EC-4529-8854-7581B46F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7</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16948</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CLSC Task Force</dc:creator>
  <cp:lastModifiedBy>"012747215"</cp:lastModifiedBy>
  <cp:revision>15</cp:revision>
  <cp:lastPrinted>2014-02-25T19:54:00Z</cp:lastPrinted>
  <dcterms:created xsi:type="dcterms:W3CDTF">2020-03-19T22:10:00Z</dcterms:created>
  <dcterms:modified xsi:type="dcterms:W3CDTF">2021-05-11T15:50:00Z</dcterms:modified>
</cp:coreProperties>
</file>