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pPr>
      <w:r>
        <w:t>FALL 2019</w:t>
      </w:r>
      <w:r>
        <w:br/>
      </w:r>
      <w:r>
        <w:rPr>
          <w:u w:val="single"/>
        </w:rPr>
        <w:t>SAN JOSE STATE UNIVERSITY</w:t>
      </w:r>
      <w:r>
        <w:br/>
      </w:r>
      <w:r>
        <w:br/>
        <w:t>COLLEGE OF APPLIED SCIENCES</w:t>
      </w:r>
      <w:r>
        <w:br/>
        <w:t>HOSPITALITY, RECREATION AND TOURISM MANAGEMENT</w:t>
      </w:r>
      <w:r>
        <w:br/>
        <w:t>One Washington Square</w:t>
      </w:r>
      <w:r>
        <w:br/>
        <w:t>San Jose, CA  95192-0070</w:t>
      </w:r>
    </w:p>
    <w:p>
      <w:pPr>
        <w:pStyle w:val="Head1"/>
      </w:pPr>
      <w:r>
        <w:t>COURSE</w:t>
      </w:r>
    </w:p>
    <w:p>
      <w:pPr>
        <w:pStyle w:val="BodyTextNoIndent"/>
      </w:pPr>
      <w:proofErr w:type="spellStart"/>
      <w:r>
        <w:t>HTEM</w:t>
      </w:r>
      <w:proofErr w:type="spellEnd"/>
      <w:r>
        <w:t>/</w:t>
      </w:r>
      <w:proofErr w:type="spellStart"/>
      <w:r>
        <w:t>HSPM</w:t>
      </w:r>
      <w:proofErr w:type="spellEnd"/>
      <w:r>
        <w:t xml:space="preserve"> 107:  Legal Aspects of Hospitality Management</w:t>
      </w:r>
    </w:p>
    <w:p>
      <w:pPr>
        <w:pStyle w:val="Head1"/>
      </w:pPr>
      <w:r>
        <w:t>DAY, TIME AND PLACE</w:t>
      </w:r>
    </w:p>
    <w:p>
      <w:pPr>
        <w:spacing w:after="120"/>
        <w:jc w:val="left"/>
        <w:rPr>
          <w:spacing w:val="-3"/>
          <w:sz w:val="18"/>
          <w:szCs w:val="20"/>
        </w:rPr>
      </w:pPr>
      <w:r>
        <w:rPr>
          <w:b/>
          <w:spacing w:val="-3"/>
          <w:sz w:val="18"/>
          <w:szCs w:val="20"/>
          <w:u w:val="single"/>
        </w:rPr>
        <w:t>Section 1</w:t>
      </w:r>
      <w:r>
        <w:rPr>
          <w:b/>
          <w:spacing w:val="-3"/>
          <w:sz w:val="18"/>
          <w:szCs w:val="20"/>
        </w:rPr>
        <w:t xml:space="preserve"> (Green) #41804</w:t>
      </w:r>
      <w:r>
        <w:rPr>
          <w:b/>
          <w:spacing w:val="-3"/>
          <w:sz w:val="18"/>
          <w:szCs w:val="20"/>
        </w:rPr>
        <w:br/>
      </w:r>
      <w:r>
        <w:rPr>
          <w:spacing w:val="-3"/>
          <w:sz w:val="18"/>
          <w:szCs w:val="20"/>
        </w:rPr>
        <w:t xml:space="preserve">Monday &amp; Wednesday:  </w:t>
      </w:r>
      <w:proofErr w:type="spellStart"/>
      <w:r>
        <w:rPr>
          <w:spacing w:val="-3"/>
          <w:sz w:val="18"/>
          <w:szCs w:val="20"/>
        </w:rPr>
        <w:t>10:30am</w:t>
      </w:r>
      <w:proofErr w:type="spellEnd"/>
      <w:r>
        <w:rPr>
          <w:spacing w:val="-3"/>
          <w:sz w:val="18"/>
          <w:szCs w:val="20"/>
        </w:rPr>
        <w:t xml:space="preserve"> – </w:t>
      </w:r>
      <w:proofErr w:type="spellStart"/>
      <w:r>
        <w:rPr>
          <w:spacing w:val="-3"/>
          <w:sz w:val="18"/>
          <w:szCs w:val="20"/>
        </w:rPr>
        <w:t>11:45am</w:t>
      </w:r>
      <w:proofErr w:type="spellEnd"/>
      <w:r>
        <w:rPr>
          <w:spacing w:val="-3"/>
          <w:sz w:val="18"/>
          <w:szCs w:val="20"/>
        </w:rPr>
        <w:br/>
        <w:t>Sweeney Hall 120</w:t>
      </w:r>
    </w:p>
    <w:p>
      <w:pPr>
        <w:pStyle w:val="Head1"/>
      </w:pPr>
      <w:r>
        <w:t>INSTRUCTOR</w:t>
      </w:r>
    </w:p>
    <w:p>
      <w:pPr>
        <w:pStyle w:val="BodyTextNoIndent"/>
      </w:pPr>
      <w:r>
        <w:t>Joseph E. Dworak</w:t>
      </w:r>
      <w:r>
        <w:br/>
        <w:t>Berliner Cohen</w:t>
      </w:r>
      <w:r>
        <w:br/>
        <w:t>Ten Almaden Boulevard, Suite 1100</w:t>
      </w:r>
      <w:r>
        <w:br/>
      </w:r>
      <w:smartTag w:uri="urn:schemas-microsoft-com:office:smarttags" w:element="place">
        <w:smartTag w:uri="urn:schemas-microsoft-com:office:smarttags" w:element="City">
          <w:r>
            <w:t>San Jose</w:t>
          </w:r>
        </w:smartTag>
        <w:r>
          <w:t xml:space="preserve">, </w:t>
        </w:r>
        <w:smartTag w:uri="urn:schemas-microsoft-com:office:smarttags" w:element="State">
          <w:r>
            <w:t>CA</w:t>
          </w:r>
        </w:smartTag>
        <w:r>
          <w:t xml:space="preserve">  </w:t>
        </w:r>
        <w:smartTag w:uri="urn:schemas-microsoft-com:office:smarttags" w:element="PostalCode">
          <w:r>
            <w:t>95113</w:t>
          </w:r>
        </w:smartTag>
      </w:smartTag>
      <w:r>
        <w:br/>
        <w:t>(408) 332-7260</w:t>
      </w:r>
    </w:p>
    <w:p>
      <w:pPr>
        <w:pStyle w:val="BodyTextNoIndent"/>
      </w:pPr>
      <w:r>
        <w:t xml:space="preserve">Electronic mail address: </w:t>
      </w:r>
      <w:proofErr w:type="spellStart"/>
      <w:smartTag w:uri="urn:schemas-microsoft-com:office:smarttags" w:element="PersonName">
        <w:r>
          <w:t>jed@berliner.com</w:t>
        </w:r>
      </w:smartTag>
      <w:proofErr w:type="spellEnd"/>
    </w:p>
    <w:p>
      <w:pPr>
        <w:pStyle w:val="Head1"/>
      </w:pPr>
      <w:r>
        <w:t>OFFICE HOURS</w:t>
      </w:r>
    </w:p>
    <w:p>
      <w:pPr>
        <w:pStyle w:val="BodyTextNoIndent"/>
      </w:pPr>
      <w:r>
        <w:t xml:space="preserve">By Appointment; Monday </w:t>
      </w:r>
      <w:proofErr w:type="spellStart"/>
      <w:r>
        <w:t>11:45am</w:t>
      </w:r>
      <w:proofErr w:type="spellEnd"/>
      <w:r>
        <w:t xml:space="preserve"> – </w:t>
      </w:r>
      <w:proofErr w:type="spellStart"/>
      <w:r>
        <w:t>12:45pm</w:t>
      </w:r>
      <w:proofErr w:type="spellEnd"/>
      <w:r>
        <w:t xml:space="preserve"> and Tuesday </w:t>
      </w:r>
      <w:proofErr w:type="spellStart"/>
      <w:r>
        <w:t>1:15pm</w:t>
      </w:r>
      <w:proofErr w:type="spellEnd"/>
      <w:r>
        <w:t xml:space="preserve"> – </w:t>
      </w:r>
      <w:proofErr w:type="spellStart"/>
      <w:r>
        <w:t>2:15pm</w:t>
      </w:r>
      <w:proofErr w:type="spellEnd"/>
      <w:r>
        <w:br/>
        <w:t>Berliner Cohen</w:t>
      </w:r>
      <w:r>
        <w:br/>
        <w:t>Ten Almaden Boulevard, Suite 1100</w:t>
      </w:r>
      <w:r>
        <w:br/>
        <w:t>San Jose, CA  95113</w:t>
      </w:r>
      <w:r>
        <w:br/>
        <w:t>(408) 332-7260</w:t>
      </w:r>
    </w:p>
    <w:p>
      <w:pPr>
        <w:pStyle w:val="BodyTextNoIndent"/>
      </w:pPr>
      <w:r>
        <w:t xml:space="preserve">I am available at other times by appointment.  My office address is listed above and by contacting my secretary you can make an appointment to meet on campus or at my office, which is located across the street from the </w:t>
      </w:r>
      <w:proofErr w:type="spellStart"/>
      <w:r>
        <w:t>DeAnza</w:t>
      </w:r>
      <w:proofErr w:type="spellEnd"/>
      <w:r>
        <w:t xml:space="preserve"> Hotel.</w:t>
      </w:r>
    </w:p>
    <w:p>
      <w:pPr>
        <w:pStyle w:val="Head1"/>
      </w:pPr>
      <w:r>
        <w:t>REFERENCE TEXTS</w:t>
      </w:r>
    </w:p>
    <w:p>
      <w:pPr>
        <w:pStyle w:val="BodyTextNoIndent"/>
      </w:pPr>
      <w:r>
        <w:rPr>
          <w:u w:val="single"/>
        </w:rPr>
        <w:t>West’s Business Law</w:t>
      </w:r>
      <w:r>
        <w:t xml:space="preserve"> (“West’s”)</w:t>
      </w:r>
      <w:r>
        <w:br/>
        <w:t xml:space="preserve">(11th Edition) by Clarkson, Miller, </w:t>
      </w:r>
      <w:proofErr w:type="spellStart"/>
      <w:r>
        <w:t>Jentz</w:t>
      </w:r>
      <w:proofErr w:type="spellEnd"/>
      <w:r>
        <w:t xml:space="preserve"> &amp; Cross, Copyright 2009, 2006; </w:t>
      </w:r>
      <w:proofErr w:type="spellStart"/>
      <w:r>
        <w:t>ISB</w:t>
      </w:r>
      <w:proofErr w:type="spellEnd"/>
      <w:r>
        <w:t xml:space="preserve"> No. 13:978-1-285-18524-8 (“West’s”)</w:t>
      </w:r>
    </w:p>
    <w:p>
      <w:pPr>
        <w:pStyle w:val="Head1"/>
      </w:pPr>
      <w:r>
        <w:t xml:space="preserve">INSTRUCTOR PROVIDED HANDOUTS </w:t>
      </w:r>
      <w:r>
        <w:rPr>
          <w:sz w:val="22"/>
          <w:szCs w:val="22"/>
          <w:u w:val="none"/>
        </w:rPr>
        <w:t>– Supplemental by Reference Text</w:t>
      </w:r>
    </w:p>
    <w:p>
      <w:pPr>
        <w:pStyle w:val="BodyTextNoIndent"/>
      </w:pPr>
      <w:r>
        <w:rPr>
          <w:u w:val="single"/>
        </w:rPr>
        <w:t>Hospitality Law</w:t>
      </w:r>
      <w:r>
        <w:t xml:space="preserve"> by Stephen Barth, </w:t>
      </w:r>
      <w:proofErr w:type="spellStart"/>
      <w:r>
        <w:t>ISB</w:t>
      </w:r>
      <w:proofErr w:type="spellEnd"/>
      <w:r>
        <w:t xml:space="preserve"> No. 978-1-118-08563-9.  (“Barth”)</w:t>
      </w:r>
    </w:p>
    <w:p>
      <w:pPr>
        <w:pStyle w:val="Head1"/>
        <w:rPr>
          <w:lang w:val="fr-FR"/>
        </w:rPr>
      </w:pPr>
      <w:proofErr w:type="spellStart"/>
      <w:r>
        <w:rPr>
          <w:lang w:val="fr-FR"/>
        </w:rPr>
        <w:t>SJSU</w:t>
      </w:r>
      <w:proofErr w:type="spellEnd"/>
      <w:r>
        <w:rPr>
          <w:lang w:val="fr-FR"/>
        </w:rPr>
        <w:t xml:space="preserve"> </w:t>
      </w:r>
      <w:proofErr w:type="spellStart"/>
      <w:r>
        <w:rPr>
          <w:lang w:val="fr-FR"/>
        </w:rPr>
        <w:t>CATALOG</w:t>
      </w:r>
      <w:proofErr w:type="spellEnd"/>
      <w:r>
        <w:rPr>
          <w:lang w:val="fr-FR"/>
        </w:rPr>
        <w:t xml:space="preserve"> COURSE DESCRIPTION</w:t>
      </w:r>
    </w:p>
    <w:p>
      <w:pPr>
        <w:pStyle w:val="BodyTextNoIndent"/>
      </w:pPr>
      <w:proofErr w:type="spellStart"/>
      <w:r>
        <w:rPr>
          <w:lang w:val="fr-FR"/>
        </w:rPr>
        <w:t>HSPM</w:t>
      </w:r>
      <w:proofErr w:type="spellEnd"/>
      <w:r>
        <w:rPr>
          <w:lang w:val="fr-FR"/>
        </w:rPr>
        <w:t xml:space="preserve"> 107.  </w:t>
      </w:r>
      <w:r>
        <w:t xml:space="preserve">Legal Aspects of Hospitality Management.  </w:t>
      </w:r>
    </w:p>
    <w:p>
      <w:pPr>
        <w:pStyle w:val="BodyTextNoIndent"/>
      </w:pPr>
      <w:r>
        <w:t xml:space="preserve">Government regulation of the hospitality industry.  Rights, obligations and liabilities of hotels, motels, restaurants, transportation services and travel/tourism agencies.  Responsibilities for facilities and equipment common in the industry.  Prerequisite:  </w:t>
      </w:r>
      <w:proofErr w:type="spellStart"/>
      <w:r>
        <w:t>HSPM</w:t>
      </w:r>
      <w:proofErr w:type="spellEnd"/>
      <w:r>
        <w:t xml:space="preserve"> 1.  Units:  3.  </w:t>
      </w:r>
    </w:p>
    <w:p>
      <w:pPr>
        <w:pStyle w:val="Head1"/>
      </w:pPr>
      <w:r>
        <w:t>PURPOSE OF COURSE</w:t>
      </w:r>
    </w:p>
    <w:p>
      <w:pPr>
        <w:pStyle w:val="BodyTextNoIndent"/>
      </w:pPr>
      <w:r>
        <w:t>The purpose of this course is to educate future hoteliers, restaurateurs and travel personnel and other persons working in the accommodation industry concerning their professional rights and obligations, and the rights and obligations of others.  The course is designed to provide the student with a working knowledge of the laws and regulations applicable to the hospitality industry and, in particular, the areas of contracts, employment law, tort law, labor relations, product liability, insurance, and statutory regulations of hotels and food service most likely to be encountered.</w:t>
      </w:r>
    </w:p>
    <w:p>
      <w:pPr>
        <w:pStyle w:val="Head1"/>
        <w:spacing w:before="360"/>
      </w:pPr>
      <w:r>
        <w:lastRenderedPageBreak/>
        <w:t>SCOPE OF CLASS</w:t>
      </w:r>
    </w:p>
    <w:p>
      <w:pPr>
        <w:pStyle w:val="BodyTextNoIndent"/>
      </w:pPr>
      <w:r>
        <w:t>This class is designed to introduce the student to the legal principles and issues common to the hotel and travel industry.  The goal is to provide the student with a general understanding and working knowledge of typical and reoccurring legal problems that the student may encounter during his or her career.</w:t>
      </w:r>
    </w:p>
    <w:p>
      <w:pPr>
        <w:pStyle w:val="BodyTextNoIndent"/>
      </w:pPr>
      <w:r>
        <w:t>The course will not follow a law school format, and will not be taught as such.  Memorization of strict legal principals and rules is neither warranted nor the purpose of the class.  Instead, during the class the student will be required to identify legal issues and learn how to evaluate those legal issues in a structured framework so that the issue can either be resolved informally by management, or presented to counsel.  In summary, the student will learn to recognize a number of legal issues concerning hospitality operations, and will be provided the tools to devise management safeguards to limit legal exposure.  The student will also be provided actual problems and issues and will be required to display an understanding of the legal principals by solving the presented problems.</w:t>
      </w:r>
    </w:p>
    <w:p>
      <w:pPr>
        <w:pStyle w:val="Head1"/>
      </w:pPr>
      <w:r>
        <w:t>CLASS FORMAT</w:t>
      </w:r>
    </w:p>
    <w:p>
      <w:pPr>
        <w:pStyle w:val="BodyTextNoIndent"/>
      </w:pPr>
      <w:r>
        <w:t>This course will be a blend of lecture, reading, guest lecturers, and class participation.  Lectures will not replace, but will supplement the reading materials.  The student will be called upon to display both orally and in writing problem solving abilities premised upon the substantive information provided in the readings in class.</w:t>
      </w:r>
    </w:p>
    <w:p>
      <w:pPr>
        <w:pStyle w:val="BodyTextNoIndent"/>
      </w:pPr>
      <w:r>
        <w:t>Information provided by guest lecturers will be on all examinations.  The presentation of the information will be designed to make the student an active participant in the learning process as opposed to a passive recipient of information.  Depending upon the availability of guest speakers and other logistic problems, one or more classes may be held off campus at the sites of various hotels or restaurants.  At no time will a guest lecturer span the entire class period, and the guest lecturer will either be preceded or followed by class lecture or participation.</w:t>
      </w:r>
    </w:p>
    <w:p>
      <w:pPr>
        <w:pStyle w:val="Head1"/>
      </w:pPr>
      <w:r>
        <w:t>CLASS ATTENDANCE</w:t>
      </w:r>
    </w:p>
    <w:p>
      <w:pPr>
        <w:pStyle w:val="BodyTextNoIndent"/>
      </w:pPr>
      <w:r>
        <w:t>Students should attend all meetings of their classes, not only because they are responsible for material discussed therein, but because active participation is frequently essential to insure maximum benefit for all members of the class. Attendance alone shall not be used as criterion for grading.</w:t>
      </w:r>
    </w:p>
    <w:p>
      <w:pPr>
        <w:pStyle w:val="BodyTextNoIndent"/>
      </w:pPr>
      <w:r>
        <w:t xml:space="preserve">If a student has been out of school for one or more days, he should report to his instructors upon his return to inquire about making up the work.  Students who know in advance that they will miss one or more classes should inform their instructors about their plans.  </w:t>
      </w:r>
    </w:p>
    <w:p>
      <w:pPr>
        <w:pStyle w:val="Head1"/>
      </w:pPr>
      <w:r>
        <w:t>ACADEMIC INTEGRITY &amp; COPYRIGHT</w:t>
      </w:r>
    </w:p>
    <w:p>
      <w:pPr>
        <w:pStyle w:val="Head2"/>
      </w:pPr>
      <w:r>
        <w:t xml:space="preserve">Academic Integrity </w:t>
      </w:r>
    </w:p>
    <w:p>
      <w:pPr>
        <w:pStyle w:val="BodyTextNoIndent"/>
      </w:pPr>
      <w:r>
        <w:t xml:space="preserve">“Your own commitment to learning, as evidenced by your enrollment at </w:t>
      </w:r>
      <w:smartTag w:uri="urn:schemas-microsoft-com:office:smarttags" w:element="place">
        <w:smartTag w:uri="urn:schemas-microsoft-com:office:smarttags" w:element="PlaceName">
          <w:r>
            <w:t>San Jose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and the University’s Academic Integrity Policy requires you to be honest in all your academic course work.  Faculty are required to report all infractions to the office of Judicial Affairs.  The policy on academic integrity can be found at http://</w:t>
      </w:r>
      <w:proofErr w:type="spellStart"/>
      <w:r>
        <w:t>www2.sjsu.edu</w:t>
      </w:r>
      <w:proofErr w:type="spellEnd"/>
      <w:r>
        <w:t>/senate/</w:t>
      </w:r>
      <w:proofErr w:type="spellStart"/>
      <w:r>
        <w:t>S04-12.htm</w:t>
      </w:r>
      <w:proofErr w:type="spellEnd"/>
      <w:r>
        <w:t xml:space="preserve">.”  </w:t>
      </w:r>
    </w:p>
    <w:p>
      <w:pPr>
        <w:pStyle w:val="Head2"/>
      </w:pPr>
      <w:r>
        <w:t xml:space="preserve">Americans with Disabilities Act Compliance  </w:t>
      </w:r>
    </w:p>
    <w:p>
      <w:pPr>
        <w:pStyle w:val="BodyTextNoIndent"/>
      </w:pPr>
      <w:r>
        <w:t xml:space="preserve">“If you need course adaptations or accommodations because of a disability, or if you need special arrangements in case the building must be evacuated, please make an appointment with The Disability Resource Center (924-6000, located in Adm. 110) as soon as possible.  Presidential Directive 97-03 requires that students with disabilities register with DRC to establish a record of their disability.  </w:t>
      </w:r>
    </w:p>
    <w:p>
      <w:pPr>
        <w:pStyle w:val="Head2"/>
      </w:pPr>
      <w:r>
        <w:t>Academic Policy</w:t>
      </w:r>
    </w:p>
    <w:p>
      <w:pPr>
        <w:pStyle w:val="BodyTextNoIndent"/>
      </w:pPr>
      <w:r>
        <w:t>As a member of the campus community, you are expected to demonstrate integrity in all of your academic endeavors and will be evaluated on your own merits.  Be proud of your academic accomplishments and help to protect and promote academic integrity at SJSU. The consequences of cheating and academic dishonesty—including a formal discipline file, possible loss of future internship, scholarship, or employment opportunities, and denial of admission to graduate school—are simply not worth it.. More information can be found at http://</w:t>
      </w:r>
      <w:proofErr w:type="spellStart"/>
      <w:r>
        <w:t>www.sa.sjsu.edu</w:t>
      </w:r>
      <w:proofErr w:type="spellEnd"/>
      <w:r>
        <w:t>/</w:t>
      </w:r>
      <w:proofErr w:type="spellStart"/>
      <w:r>
        <w:t>judicial_affairs</w:t>
      </w:r>
      <w:proofErr w:type="spellEnd"/>
      <w:r>
        <w:t>/</w:t>
      </w:r>
      <w:proofErr w:type="spellStart"/>
      <w:r>
        <w:t>index.html</w:t>
      </w:r>
      <w:proofErr w:type="spellEnd"/>
    </w:p>
    <w:p>
      <w:pPr>
        <w:pStyle w:val="BodyTextNoIndent"/>
      </w:pPr>
      <w:r>
        <w:t>The University emphasizes responsible citizenship and an understanding of ethical choices inherent in human development. Academic honesty and fairness foster ethical standards for all those who depend upon the integrity of the university, its courses, and its degrees. This policy sets the standards for such integrity and shall be used to inform students, faculty and staff of the university’s Academic Integrity Policy. The public is defrauded if faculty and/or students knowingly or unwittingly allow dishonest acts to be rewarded academically and the university’s degrees are compromised. See http://</w:t>
      </w:r>
      <w:proofErr w:type="spellStart"/>
      <w:r>
        <w:t>www2.sjsu.edu</w:t>
      </w:r>
      <w:proofErr w:type="spellEnd"/>
      <w:r>
        <w:t>/senate/</w:t>
      </w:r>
      <w:proofErr w:type="spellStart"/>
      <w:r>
        <w:t>S04-12.pdf</w:t>
      </w:r>
      <w:proofErr w:type="spellEnd"/>
      <w:r>
        <w:t xml:space="preserve">  </w:t>
      </w:r>
    </w:p>
    <w:p>
      <w:pPr>
        <w:pStyle w:val="Head2"/>
      </w:pPr>
      <w:r>
        <w:t>Copyright and Fair Use Policies</w:t>
      </w:r>
    </w:p>
    <w:p>
      <w:pPr>
        <w:pStyle w:val="BodyTextNoIndent"/>
      </w:pPr>
      <w:r>
        <w:t>The University requires all members of the University Community to familiarize themselves with copyright and fair use requirements. You are individually and solely responsible for violations of copyright and fair use laws. The University will neither protect nor defend you nor assume any responsibility for employee or student violations and fair use laws. Violations of copyright laws could subject you to federal and state civil penalties and criminal liability as well as disciplinary action under University policies. To help familiarize yourself with copyright and fair use policies, the University encourages you to visit its copyright web page http://</w:t>
      </w:r>
      <w:proofErr w:type="spellStart"/>
      <w:r>
        <w:t>www.sjlibrary.org</w:t>
      </w:r>
      <w:proofErr w:type="spellEnd"/>
      <w:r>
        <w:t>/services/distance/</w:t>
      </w:r>
      <w:proofErr w:type="spellStart"/>
      <w:r>
        <w:t>fac_copyright.htm</w:t>
      </w:r>
      <w:proofErr w:type="spellEnd"/>
    </w:p>
    <w:p>
      <w:pPr>
        <w:pStyle w:val="Head1"/>
      </w:pPr>
      <w:r>
        <w:lastRenderedPageBreak/>
        <w:t>STUDENT RESOURCES</w:t>
      </w:r>
    </w:p>
    <w:p>
      <w:pPr>
        <w:pStyle w:val="Head2"/>
      </w:pPr>
      <w:smartTag w:uri="urn:schemas-microsoft-com:office:smarttags" w:element="PlaceName">
        <w:r>
          <w:t>Disability</w:t>
        </w:r>
      </w:smartTag>
      <w:r>
        <w:t xml:space="preserve"> </w:t>
      </w:r>
      <w:smartTag w:uri="urn:schemas-microsoft-com:office:smarttags" w:element="PlaceName">
        <w:r>
          <w:t>Resource</w:t>
        </w:r>
      </w:smartTag>
      <w:r>
        <w:t xml:space="preserve"> Center</w:t>
      </w:r>
      <w:r>
        <w:rPr>
          <w:rStyle w:val="Heading7Char"/>
          <w:u w:val="none"/>
        </w:rPr>
        <w:t xml:space="preserve">  (DRC)</w:t>
      </w:r>
    </w:p>
    <w:p>
      <w:pPr>
        <w:pStyle w:val="BodyTextNoIndent"/>
      </w:pPr>
      <w:r>
        <w:t xml:space="preserve">The DRC houses Disability Services, Tutoring Services, and Learning Strategies. If you have a documented disability that may require assistance, you will need to contact DRC for coordination in your academic accommodations. DRC is located in the Administration Building 110. The phone number is (408) 924-6000 (Main Office); or (408) 924-6542 (Deaf and </w:t>
      </w:r>
      <w:proofErr w:type="spellStart"/>
      <w:r>
        <w:t>HoH</w:t>
      </w:r>
      <w:proofErr w:type="spellEnd"/>
      <w:r>
        <w:t>); or (408) 808-2123 (ATC). You may also visit the DRC website at http://</w:t>
      </w:r>
      <w:proofErr w:type="spellStart"/>
      <w:r>
        <w:t>www.drc.sjsu.edu</w:t>
      </w:r>
      <w:proofErr w:type="spellEnd"/>
      <w:r>
        <w:t>/</w:t>
      </w:r>
      <w:proofErr w:type="spellStart"/>
      <w:r>
        <w:t>index.htm</w:t>
      </w:r>
      <w:proofErr w:type="spellEnd"/>
    </w:p>
    <w:p>
      <w:pPr>
        <w:pStyle w:val="Head2"/>
      </w:pPr>
      <w:r>
        <w:t xml:space="preserve">The Adaptive </w:t>
      </w:r>
      <w:smartTag w:uri="urn:schemas-microsoft-com:office:smarttags" w:element="PlaceName">
        <w:r>
          <w:t>Technology</w:t>
        </w:r>
      </w:smartTag>
      <w:r>
        <w:t xml:space="preserve"> Center</w:t>
      </w:r>
      <w:r>
        <w:rPr>
          <w:u w:val="none"/>
        </w:rPr>
        <w:t xml:space="preserve">  (ATC)</w:t>
      </w:r>
    </w:p>
    <w:p>
      <w:pPr>
        <w:pStyle w:val="BodyTextNoIndent"/>
      </w:pPr>
      <w:r>
        <w:t xml:space="preserve">The ATC is located on the 2nd floor of King Library and is open only to SJSU students, faculty and staff registered with the SJSU Disabilities Resource Center (DRC). ATC hours and phone number are posted on the </w:t>
      </w:r>
      <w:smartTag w:uri="urn:schemas-microsoft-com:office:smarttags" w:element="place">
        <w:smartTag w:uri="urn:schemas-microsoft-com:office:smarttags" w:element="PlaceName">
          <w:r>
            <w:t>SJSU</w:t>
          </w:r>
        </w:smartTag>
        <w:r>
          <w:t xml:space="preserve"> </w:t>
        </w:r>
        <w:smartTag w:uri="urn:schemas-microsoft-com:office:smarttags" w:element="PlaceName">
          <w:r>
            <w:t>Disability</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page. </w:t>
      </w:r>
    </w:p>
    <w:p>
      <w:pPr>
        <w:pStyle w:val="Head2"/>
      </w:pPr>
      <w:r>
        <w:t xml:space="preserve">Student Technology Resources </w:t>
      </w:r>
    </w:p>
    <w:p>
      <w:pPr>
        <w:pStyle w:val="BodyTextNoIndent"/>
      </w:pPr>
      <w:r>
        <w:t xml:space="preserve">Computer labs for student use are available in the new </w:t>
      </w:r>
      <w:smartTag w:uri="urn:schemas-microsoft-com:office:smarttags" w:element="place">
        <w:smartTag w:uri="urn:schemas-microsoft-com:office:smarttags" w:element="PlaceName">
          <w:r>
            <w:t>Academic</w:t>
          </w:r>
        </w:smartTag>
        <w:r>
          <w:t xml:space="preserve"> </w:t>
        </w:r>
        <w:smartTag w:uri="urn:schemas-microsoft-com:office:smarttags" w:element="PlaceName">
          <w:r>
            <w:t>Success</w:t>
          </w:r>
        </w:smartTag>
        <w:r>
          <w:t xml:space="preserve"> </w:t>
        </w:r>
        <w:smartTag w:uri="urn:schemas-microsoft-com:office:smarttags" w:element="PlaceType">
          <w:r>
            <w:t>Center</w:t>
          </w:r>
        </w:smartTag>
      </w:smartTag>
      <w:r>
        <w:t xml:space="preserve"> located on the 1st floor of Clark Hall and on the 2nd floor of the Student Union. Additional labs that may be available to students in your department/college. Computers are also available in the Martin Luther King Library.</w:t>
      </w:r>
    </w:p>
    <w:p>
      <w:pPr>
        <w:pStyle w:val="BodyTextNoIndent"/>
      </w:pPr>
      <w:r>
        <w:t xml:space="preserve">A wide variety of audio-visual equipment is available for student checkout from Media Services located in IRC 112. These items include digital and VHS camcorders, VHS and Beta video players, </w:t>
      </w:r>
      <w:smartTag w:uri="urn:schemas-microsoft-com:office:smarttags" w:element="metricconverter">
        <w:smartTagPr>
          <w:attr w:name="ProductID" w:val="16 mm"/>
        </w:smartTagPr>
        <w:r>
          <w:t>16 mm</w:t>
        </w:r>
      </w:smartTag>
      <w:r>
        <w:t>, slide, overhead, DVD, CD, and audiotape players, sound systems, wireless microphones, screens and monitors.</w:t>
      </w:r>
    </w:p>
    <w:p>
      <w:pPr>
        <w:pStyle w:val="Head2"/>
      </w:pPr>
      <w:smartTag w:uri="urn:schemas-microsoft-com:office:smarttags" w:element="place">
        <w:smartTag w:uri="urn:schemas-microsoft-com:office:smarttags" w:element="PlaceName">
          <w:r>
            <w:t>Learning</w:t>
          </w:r>
        </w:smartTag>
        <w:r>
          <w:t xml:space="preserve"> </w:t>
        </w:r>
        <w:smartTag w:uri="urn:schemas-microsoft-com:office:smarttags" w:element="PlaceName">
          <w:r>
            <w:t>Assistance</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(LARC)</w:t>
      </w:r>
    </w:p>
    <w:p>
      <w:pPr>
        <w:pStyle w:val="BodyTextNoIndent"/>
      </w:pPr>
      <w:r>
        <w:t xml:space="preserve">LARC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LARC is located in Room </w:t>
      </w:r>
      <w:smartTag w:uri="urn:schemas-microsoft-com:office:smarttags" w:element="metricconverter">
        <w:smartTagPr>
          <w:attr w:name="ProductID" w:val="600 in"/>
        </w:smartTagPr>
        <w:r>
          <w:t>600 in</w:t>
        </w:r>
      </w:smartTag>
      <w:r>
        <w:t xml:space="preserve"> the </w:t>
      </w:r>
      <w:smartTag w:uri="urn:schemas-microsoft-com:office:smarttags" w:element="place">
        <w:smartTag w:uri="urn:schemas-microsoft-com:office:smarttags" w:element="PlaceName">
          <w:r>
            <w:t>Student</w:t>
          </w:r>
        </w:smartTag>
        <w:r>
          <w:t xml:space="preserve"> </w:t>
        </w:r>
        <w:smartTag w:uri="urn:schemas-microsoft-com:office:smarttags" w:element="PlaceName">
          <w:r>
            <w:t>Services</w:t>
          </w:r>
        </w:smartTag>
        <w:r>
          <w:t xml:space="preserve"> </w:t>
        </w:r>
        <w:smartTag w:uri="urn:schemas-microsoft-com:office:smarttags" w:element="PlaceType">
          <w:r>
            <w:t>Center</w:t>
          </w:r>
        </w:smartTag>
      </w:smartTag>
      <w:r>
        <w:t>. See http://</w:t>
      </w:r>
      <w:proofErr w:type="spellStart"/>
      <w:r>
        <w:t>www.sjsu.edu</w:t>
      </w:r>
      <w:proofErr w:type="spellEnd"/>
      <w:r>
        <w:t>/</w:t>
      </w:r>
      <w:proofErr w:type="spellStart"/>
      <w:r>
        <w:t>larc</w:t>
      </w:r>
      <w:proofErr w:type="spellEnd"/>
      <w:r>
        <w:t>/</w:t>
      </w:r>
    </w:p>
    <w:p>
      <w:pPr>
        <w:pStyle w:val="Head2"/>
      </w:pPr>
      <w:smartTag w:uri="urn:schemas-microsoft-com:office:smarttags" w:element="place">
        <w:smartTag w:uri="urn:schemas-microsoft-com:office:smarttags" w:element="PlaceName">
          <w:r>
            <w:t>SJSU</w:t>
          </w:r>
        </w:smartTag>
        <w:r>
          <w:t xml:space="preserve"> </w:t>
        </w:r>
        <w:smartTag w:uri="urn:schemas-microsoft-com:office:smarttags" w:element="PlaceName">
          <w:r>
            <w:t>Writing</w:t>
          </w:r>
        </w:smartTag>
        <w:r>
          <w:t xml:space="preserve"> </w:t>
        </w:r>
        <w:smartTag w:uri="urn:schemas-microsoft-com:office:smarttags" w:element="PlaceType">
          <w:r>
            <w:t>Center</w:t>
          </w:r>
        </w:smartTag>
      </w:smartTag>
    </w:p>
    <w:p>
      <w:pPr>
        <w:pStyle w:val="BodyTextNoIndent"/>
      </w:pPr>
      <w:r>
        <w:t xml:space="preserve">The </w:t>
      </w:r>
      <w:smartTag w:uri="urn:schemas-microsoft-com:office:smarttags" w:element="place">
        <w:smartTag w:uri="urn:schemas-microsoft-com:office:smarttags" w:element="PlaceName">
          <w:r>
            <w:t>SJSU</w:t>
          </w:r>
        </w:smartTag>
        <w:r>
          <w:t xml:space="preserve"> </w:t>
        </w:r>
        <w:smartTag w:uri="urn:schemas-microsoft-com:office:smarttags" w:element="PlaceName">
          <w:r>
            <w:t>Writing</w:t>
          </w:r>
        </w:smartTag>
        <w:r>
          <w:t xml:space="preserve"> </w:t>
        </w:r>
        <w:smartTag w:uri="urn:schemas-microsoft-com:office:smarttags" w:element="PlaceType">
          <w:r>
            <w:t>Center</w:t>
          </w:r>
        </w:smartTag>
      </w:smartTag>
      <w:r>
        <w:t xml:space="preserve">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w:t>
      </w:r>
    </w:p>
    <w:p>
      <w:pPr>
        <w:pStyle w:val="Head2"/>
      </w:pPr>
      <w:r>
        <w:t>Librarian Liaison</w:t>
      </w:r>
    </w:p>
    <w:p>
      <w:pPr>
        <w:pStyle w:val="BodyTextNoIndent"/>
      </w:pPr>
      <w:r>
        <w:t xml:space="preserve">The name and contact information for the </w:t>
      </w:r>
      <w:proofErr w:type="spellStart"/>
      <w:r>
        <w:t>HRTM</w:t>
      </w:r>
      <w:proofErr w:type="spellEnd"/>
      <w:r>
        <w:t xml:space="preserve"> librarian liaison: Harry C. Meserve   (408) 808-2093.</w:t>
      </w:r>
    </w:p>
    <w:p>
      <w:pPr>
        <w:pStyle w:val="Head1"/>
      </w:pPr>
      <w:r>
        <w:t>APPROACH TO CLASS</w:t>
      </w:r>
    </w:p>
    <w:p>
      <w:pPr>
        <w:pStyle w:val="Head2"/>
      </w:pPr>
      <w:r>
        <w:t>Relevance of Course Material</w:t>
      </w:r>
    </w:p>
    <w:p>
      <w:pPr>
        <w:pStyle w:val="BodyTextNoIndent"/>
      </w:pPr>
      <w:r>
        <w:t xml:space="preserve">My goal is to demonstrate the relevance of the course material content to legal issues you likely will encounter during your business career.  I do not intend to merely require you to memorize concepts that are obtained from the book.  Rather, I intend to highlight those concepts in each chapter I expect to be relevant to your career as a businessperson and use those concepts as a way to identify potential legal problems.  I will do this by relying upon cases and problems that I have encountered over my 25-year career as an attorney.  This means, of course, that you will be receiving much information outside the text.  I believe that the concepts and the relevance of the concepts and rules in the text can best be explained by applying them to actual situations.  </w:t>
      </w:r>
    </w:p>
    <w:p>
      <w:pPr>
        <w:pStyle w:val="Head2"/>
      </w:pPr>
      <w:r>
        <w:t>Enhancing Learning</w:t>
      </w:r>
    </w:p>
    <w:p>
      <w:pPr>
        <w:pStyle w:val="BodyTextNoIndent"/>
      </w:pPr>
      <w:r>
        <w:t xml:space="preserve">This is not a memorization course.  The key to understanding complex legal concepts is to first identify the legal issue.  Once the legal issue is identified, then typically the rule of law can be applied and then analysis can be undertaken to obtain a conclusion regarding the likely outcome.  This is the approach that I will take in order to enhance your learning experience.  I will provide factual situations from which you should be able to identify the controlling principal law, formulate an analysis and come to an appropriate conclusion.  </w:t>
      </w:r>
    </w:p>
    <w:p>
      <w:pPr>
        <w:pStyle w:val="Head2"/>
      </w:pPr>
      <w:r>
        <w:t>Summary of Important Points</w:t>
      </w:r>
    </w:p>
    <w:p>
      <w:pPr>
        <w:pStyle w:val="BodyTextNoIndent"/>
      </w:pPr>
      <w:r>
        <w:t xml:space="preserve">All the material in all the chapters is important.  However, as a practical matter, some rules of law and areas of law simply are more common than others are.  I do not intend to focus on esoteric areas of law.  Rather, as we proceed through each chapter, I will summarize and emphasize the important points and focus on those areas you will encounter in your career.  The goal here will be to make sure that you understand the relative importance of each concept addressed in the chapter so that when you proceed with your career you will have received not only meaningful but relevant information.  </w:t>
      </w:r>
    </w:p>
    <w:p>
      <w:pPr>
        <w:pStyle w:val="Head2"/>
      </w:pPr>
      <w:r>
        <w:t>Questions and Comments</w:t>
      </w:r>
    </w:p>
    <w:p>
      <w:pPr>
        <w:pStyle w:val="BodyTextNoIndent"/>
      </w:pPr>
      <w:r>
        <w:t xml:space="preserve">Questions and comments are always welcome and encouraged.  Generally, if you do not understand a concept, it is likely that your classmates may fail to understand the concept also.  Questions and comments also have a tendency to encourage meaningful discussion in the class regarding the concepts that will be addressed each lecture.  However, we must strike a balance between addressing fully and completely any questions and comments and making progress in the class.  This means that the questions and comments should be related to the material being presented so that we avoid tangents or spending too much time on an individual, if not esoteric, problem.  </w:t>
      </w:r>
    </w:p>
    <w:p>
      <w:pPr>
        <w:pStyle w:val="Head2"/>
      </w:pPr>
      <w:r>
        <w:lastRenderedPageBreak/>
        <w:t>Atmosphere in the Class</w:t>
      </w:r>
    </w:p>
    <w:p>
      <w:pPr>
        <w:pStyle w:val="BodyTextNoIndent"/>
      </w:pPr>
      <w:r>
        <w:t xml:space="preserve">I am trained as a litigation attorney.  This means, as a practical matter, that whenever I present a case, it is important that I do not “lose” the Judge or the jury.  Obviously, each lecture will not be a comedy show, but where appropriate, humor and levity will be used.  Simply put, to the extent I possibly can, I intend to make learning legal concepts fun.  </w:t>
      </w:r>
    </w:p>
    <w:p>
      <w:pPr>
        <w:pStyle w:val="Head2"/>
      </w:pPr>
      <w:r>
        <w:t>Assistance</w:t>
      </w:r>
    </w:p>
    <w:p>
      <w:pPr>
        <w:pStyle w:val="BodyTextNoIndent"/>
      </w:pPr>
      <w:r>
        <w:t xml:space="preserve">If you need help, please let me know.  This is your education and whatever help I can provide commensurate with my obligations as an instructor to other students and making progress in the class, I will attempt to do.  Never feel shy in approaching me for any type of assistance.  </w:t>
      </w:r>
    </w:p>
    <w:p>
      <w:pPr>
        <w:pStyle w:val="Head2"/>
      </w:pPr>
      <w:r>
        <w:t>Diversity of Students</w:t>
      </w:r>
    </w:p>
    <w:p>
      <w:pPr>
        <w:pStyle w:val="BodyTextNoIndent"/>
      </w:pPr>
      <w:r>
        <w:t xml:space="preserve">It has been my experience over the last decade in teaching this class that there is great diversity of students at </w:t>
      </w:r>
      <w:smartTag w:uri="urn:schemas-microsoft-com:office:smarttags" w:element="place">
        <w:smartTag w:uri="urn:schemas-microsoft-com:office:smarttags" w:element="PlaceName">
          <w:r>
            <w:t>San Jose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The diversity is not simply ethnic, racial or cultural diversity, but educational diversity also.  I have observed over the years that some students have been well prepared for college and others have been less prepared.  I also have recognized that for many students English is a second language, and writing skills vary dramatically.  Some students are able to write an essay with clarity.  Other students struggle with clearly communicating in writing their knowledge.  This class is simply not designed to provide remedial help, but I do recognize that there are special needs that should be focused upon.  The best way for me to handle those needs is to be aware of any particular issue that you may have.  This will require you to be proactive.  It may mean asking questions during class.  It may mean asking me to slow down during lectures.  It may mean asking me to explain concepts in more detail.  It most certainly will mean that you will need to read the material and pay attention.  </w:t>
      </w:r>
    </w:p>
    <w:p>
      <w:pPr>
        <w:pStyle w:val="Head2"/>
      </w:pPr>
      <w:r>
        <w:t>Interest in Class</w:t>
      </w:r>
    </w:p>
    <w:p>
      <w:pPr>
        <w:pStyle w:val="BodyTextNoIndent"/>
      </w:pPr>
      <w:r>
        <w:t xml:space="preserve">I am not a full time instructor.  I have had a distinguished legal career with a major law firm in </w:t>
      </w:r>
      <w:smartTag w:uri="urn:schemas-microsoft-com:office:smarttags" w:element="place">
        <w:smartTag w:uri="urn:schemas-microsoft-com:office:smarttags" w:element="City">
          <w:r>
            <w:t>San Jose</w:t>
          </w:r>
        </w:smartTag>
      </w:smartTag>
      <w:r>
        <w:t xml:space="preserve">.  Yet, I have a strong belief that education is key to our stability and progress as a society.  Each lawyer in my law firm has a commitment to community service.  One way I would demonstrate that community service is by teaching this class.  </w:t>
      </w:r>
    </w:p>
    <w:p>
      <w:pPr>
        <w:pStyle w:val="Head2"/>
      </w:pPr>
      <w:r>
        <w:t>Teaching Methods</w:t>
      </w:r>
    </w:p>
    <w:p>
      <w:pPr>
        <w:pStyle w:val="BodyTextNoIndent"/>
      </w:pPr>
      <w:r>
        <w:t xml:space="preserve">My approach will first introduce you to the legal concepts and rules of law.  Without a foundation and understanding of the applicable rules of law, it will be difficult to apply those rules to any particular legal question.  During the course of the semester, once I have confidence that the rules have been communicated I will, to a certain degree, pose questions to individual students in the class asking them to apply the rules that we have discussed during class to hypothetical situations.  The key to obtaining a solid foundation in any legal studies is being able to apply the concepts learned.  </w:t>
      </w:r>
    </w:p>
    <w:p>
      <w:pPr>
        <w:pStyle w:val="Head2"/>
      </w:pPr>
      <w:r>
        <w:t>Grading Methods</w:t>
      </w:r>
    </w:p>
    <w:p>
      <w:pPr>
        <w:pStyle w:val="BodyTextNoIndent"/>
      </w:pPr>
      <w:r>
        <w:t xml:space="preserve">Grades are an important tool to any education.  Grades are one of the few ways by which a student and an instructor can evaluate whether the concepts being discussed have been understood.  My goal with grading is to make sure that I meet the challenges of the most dedicated and intelligent of students but at the same time avoiding losing those students which learning is typically a challenge.  I also recognize that how well a student performs on a particular examination involves not only the dedication of the student, but how well the instructor has communicated the information.  I cannot control the work habits and dedication of the individual students.  However, I can control and intend to do so, the mode and method by which I communicate information to you.  To evaluate your review of that information, I will grade on a curve.  The reason I do so is that this allows me to reward those students who do well, but at the same time providing me some flexibility to avoid losing the students who are struggling.  </w:t>
      </w:r>
    </w:p>
    <w:p>
      <w:pPr>
        <w:pStyle w:val="Head2"/>
      </w:pPr>
      <w:r>
        <w:t>Analysis of Material</w:t>
      </w:r>
    </w:p>
    <w:p>
      <w:pPr>
        <w:pStyle w:val="BodyTextNoIndent"/>
      </w:pPr>
      <w:r>
        <w:t xml:space="preserve">My goal during the semester will provide you with the tools and the insight to allow you to analyze complex, if not abstract, legal rules.  My goal is to give you the confidence to analyze these complex and abstract legal issues.  </w:t>
      </w:r>
    </w:p>
    <w:p>
      <w:pPr>
        <w:pStyle w:val="Head2"/>
      </w:pPr>
      <w:r>
        <w:t>Feedback</w:t>
      </w:r>
    </w:p>
    <w:p>
      <w:pPr>
        <w:pStyle w:val="BodyTextNoIndent"/>
      </w:pPr>
      <w:r>
        <w:t>I will endeavor whenever possible to provide meaningful feedback to you about your progress.  The amount of time that can be spent with each student is inversely proportional to the size of the class.  The larger the class, the more difficult it is to give one on one attention to any individual.  The smaller the class, the easier it is to do so.  Over the years, I have found the best way to provide feedback is immediate response to questions along with class discussions and dialogue.  This feedback will also include going over each test that we take so that you understand what the correct answers were.</w:t>
      </w:r>
    </w:p>
    <w:p>
      <w:pPr>
        <w:pStyle w:val="Head2"/>
      </w:pPr>
      <w:r>
        <w:t>Confidential Student Questionnaire</w:t>
      </w:r>
    </w:p>
    <w:p>
      <w:pPr>
        <w:pStyle w:val="BodyTextNoIndent"/>
      </w:pPr>
      <w:r>
        <w:t xml:space="preserve">I will be providing you with a document entitled Confidential Student Questionnaire.  This document is designed to provide me with information about you.  Some of the information is of a practical nature.  For example, there are times when I will need to communicate with you and by having a telephone number or e-mail address for you, it makes the job much easier.  More importantly, for my purposes, I will ask you to provide some general information about yourself concerning your study habits, reading habits and your expectations.  No one is obligated to fill out this questionnaire.  It is purely voluntary.  It is also confidential.  I will be using it only for my own information and only for the class.  </w:t>
      </w:r>
    </w:p>
    <w:p>
      <w:pPr>
        <w:pStyle w:val="Head2"/>
      </w:pPr>
      <w:r>
        <w:t>Class Handouts</w:t>
      </w:r>
    </w:p>
    <w:p>
      <w:pPr>
        <w:pStyle w:val="BodyTextNoIndent"/>
      </w:pPr>
      <w:r>
        <w:t xml:space="preserve">Instructor may hand out additional written materials.  If student misses a class, the student must obtain copies from other students.  </w:t>
      </w:r>
    </w:p>
    <w:p>
      <w:pPr>
        <w:pStyle w:val="Head2"/>
      </w:pPr>
      <w:r>
        <w:lastRenderedPageBreak/>
        <w:t>Make-Up Policy</w:t>
      </w:r>
    </w:p>
    <w:p>
      <w:pPr>
        <w:pStyle w:val="BodyTextNoIndent"/>
      </w:pPr>
      <w:r>
        <w:t xml:space="preserve">The student must familiarize himself or herself with all the policies of the University and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regarding make-up policies.  These policies if in conflict with mine will control.  If a student misses an examination the student will, upon a showing of good cause, be able to take the examination.  To ensure fairness, the examination may not be identical to the one presented to the class.  Concerning classes that are missed, it will be the student’s responsibility to obtain whatever information was presented in class from a classmate.  The following policy does not apply to midterm or final examination.  You must attend the midterm examination and final examination at the scheduled times.  Please do not expect to “make-up” the midterm or final examination.</w:t>
      </w:r>
    </w:p>
    <w:p>
      <w:pPr>
        <w:pStyle w:val="BodyTextNoIndent"/>
      </w:pPr>
      <w:r>
        <w:t xml:space="preserve">Due to the size of the class it is impossible for the instructor to accommodate the individual needs of each student.  Each student must recognize that it is the student’s responsibility to attend class or not attend class and face the consequences of that decision not to attend class.  The instructor will try to accommodate students when possible.  However, the instructor will not be amenable to students missing classes or quizzes and asking for makeup material.  It will be the student’s responsibility to make sure that the student either attends class or obtains the information outside of class.  The instructor reserves the right not to provide any makeup examinations, quizzes or other materials if the student fails to show good cause for not attending or doing the work at the designated times.  Any makeup work shall be conducted at the Law Offices of Berliner Cohen, </w:t>
      </w:r>
      <w:smartTag w:uri="urn:schemas-microsoft-com:office:smarttags" w:element="Street">
        <w:smartTag w:uri="urn:schemas-microsoft-com:office:smarttags" w:element="address">
          <w:r>
            <w:t>10 Almaden Blvd.</w:t>
          </w:r>
        </w:smartTag>
      </w:smartTag>
      <w:r>
        <w:t xml:space="preserve">, 11th Floor, </w:t>
      </w:r>
      <w:smartTag w:uri="urn:schemas-microsoft-com:office:smarttags" w:element="place">
        <w:smartTag w:uri="urn:schemas-microsoft-com:office:smarttags" w:element="City">
          <w:r>
            <w:t>San Jose</w:t>
          </w:r>
        </w:smartTag>
        <w:r>
          <w:t xml:space="preserve">, </w:t>
        </w:r>
        <w:smartTag w:uri="urn:schemas-microsoft-com:office:smarttags" w:element="State">
          <w:r>
            <w:t>CA</w:t>
          </w:r>
        </w:smartTag>
        <w:r>
          <w:t xml:space="preserve">  </w:t>
        </w:r>
        <w:smartTag w:uri="urn:schemas-microsoft-com:office:smarttags" w:element="PostalCode">
          <w:r>
            <w:t>95112</w:t>
          </w:r>
        </w:smartTag>
      </w:smartTag>
      <w:r>
        <w:t xml:space="preserve">.  We will generally cover the following items over the next 15 weeks.  </w:t>
      </w:r>
    </w:p>
    <w:p>
      <w:pPr>
        <w:pStyle w:val="Head2"/>
      </w:pPr>
      <w:smartTag w:uri="urn:schemas-microsoft-com:office:smarttags" w:element="PlaceType">
        <w:r>
          <w:t>College</w:t>
        </w:r>
      </w:smartTag>
      <w:r>
        <w:t xml:space="preserve"> of </w:t>
      </w:r>
      <w:smartTag w:uri="urn:schemas-microsoft-com:office:smarttags" w:element="PlaceName">
        <w:r>
          <w:t>Business</w:t>
        </w:r>
      </w:smartTag>
      <w:r>
        <w:t xml:space="preserve"> Policies and Procedures for Use of </w:t>
      </w:r>
      <w:proofErr w:type="spellStart"/>
      <w:smartTag w:uri="urn:schemas-microsoft-com:office:smarttags" w:element="place">
        <w:smartTag w:uri="urn:schemas-microsoft-com:office:smarttags" w:element="PlaceName">
          <w:r>
            <w:t>Boccardo</w:t>
          </w:r>
        </w:smartTag>
        <w:proofErr w:type="spellEnd"/>
        <w:r>
          <w:t xml:space="preserve"> </w:t>
        </w:r>
        <w:smartTag w:uri="urn:schemas-microsoft-com:office:smarttags" w:element="PlaceName">
          <w:r>
            <w:t>Business</w:t>
          </w:r>
        </w:smartTag>
        <w:r>
          <w:t xml:space="preserve"> </w:t>
        </w:r>
        <w:smartTag w:uri="urn:schemas-microsoft-com:office:smarttags" w:element="PlaceType">
          <w:r>
            <w:t>Center</w:t>
          </w:r>
        </w:smartTag>
      </w:smartTag>
    </w:p>
    <w:p>
      <w:pPr>
        <w:pStyle w:val="BodyTextNoIndent"/>
      </w:pPr>
      <w:r>
        <w:t xml:space="preserve">To ensure that every student, current and future, who takes courses in the </w:t>
      </w:r>
      <w:proofErr w:type="spellStart"/>
      <w:smartTag w:uri="urn:schemas-microsoft-com:office:smarttags" w:element="PlaceName">
        <w:r>
          <w:t>Boccardo</w:t>
        </w:r>
      </w:smartTag>
      <w:proofErr w:type="spellEnd"/>
      <w:r>
        <w:t xml:space="preserve"> </w:t>
      </w:r>
      <w:smartTag w:uri="urn:schemas-microsoft-com:office:smarttags" w:element="PlaceName">
        <w:r>
          <w:t>Business</w:t>
        </w:r>
      </w:smartTag>
      <w:r>
        <w:t xml:space="preserve"> Center has the opportunity to experience an environment that is safe, attractive, and otherwise conducive to learning, the </w:t>
      </w:r>
      <w:smartTag w:uri="urn:schemas-microsoft-com:office:smarttags" w:element="PlaceType">
        <w:r>
          <w:t>College</w:t>
        </w:r>
      </w:smartTag>
      <w:r>
        <w:t xml:space="preserve"> of </w:t>
      </w:r>
      <w:smartTag w:uri="urn:schemas-microsoft-com:office:smarttags" w:element="PlaceName">
        <w:r>
          <w:t>Business</w:t>
        </w:r>
      </w:smartTag>
      <w:r>
        <w:t xml:space="preserve"> at </w:t>
      </w:r>
      <w:smartTag w:uri="urn:schemas-microsoft-com:office:smarttags" w:element="place">
        <w:smartTag w:uri="urn:schemas-microsoft-com:office:smarttags" w:element="PlaceName">
          <w:r>
            <w:t>San José</w:t>
          </w:r>
        </w:smartTag>
        <w:r>
          <w:t xml:space="preserve"> </w:t>
        </w:r>
        <w:smartTag w:uri="urn:schemas-microsoft-com:office:smarttags" w:element="PlaceType">
          <w:r>
            <w:t>State</w:t>
          </w:r>
        </w:smartTag>
      </w:smartTag>
      <w:r>
        <w:t xml:space="preserve"> has established the following policies:</w:t>
      </w:r>
    </w:p>
    <w:p>
      <w:pPr>
        <w:pStyle w:val="Head2"/>
      </w:pPr>
      <w:r>
        <w:t>Eating</w:t>
      </w:r>
    </w:p>
    <w:p>
      <w:pPr>
        <w:pStyle w:val="BodyTextNoIndent"/>
      </w:pPr>
      <w:r>
        <w:t xml:space="preserve">Eating and drinking (except water) are prohibited in the </w:t>
      </w:r>
      <w:proofErr w:type="spellStart"/>
      <w:smartTag w:uri="urn:schemas-microsoft-com:office:smarttags" w:element="place">
        <w:smartTag w:uri="urn:schemas-microsoft-com:office:smarttags" w:element="PlaceName">
          <w:r>
            <w:t>Boccardo</w:t>
          </w:r>
        </w:smartTag>
        <w:proofErr w:type="spellEnd"/>
        <w:r>
          <w:t xml:space="preserve"> </w:t>
        </w:r>
        <w:smartTag w:uri="urn:schemas-microsoft-com:office:smarttags" w:element="PlaceName">
          <w:r>
            <w:t>Business</w:t>
          </w:r>
        </w:smartTag>
        <w:r>
          <w:t xml:space="preserve"> </w:t>
        </w:r>
        <w:smartTag w:uri="urn:schemas-microsoft-com:office:smarttags" w:element="PlaceType">
          <w:r>
            <w:t>Center</w:t>
          </w:r>
        </w:smartTag>
      </w:smartTag>
      <w:r>
        <w:t>.  Students with food will be asked to leave the building.  Students who disrupt the course by eating and do not leave the building will be referred to the Judicial Affairs Officer of the University.</w:t>
      </w:r>
    </w:p>
    <w:p>
      <w:pPr>
        <w:pStyle w:val="Head2"/>
      </w:pPr>
      <w:r>
        <w:t>Cell Phones</w:t>
      </w:r>
    </w:p>
    <w:p>
      <w:pPr>
        <w:pStyle w:val="BodyTextNoIndent"/>
      </w:pPr>
      <w:r>
        <w:t>Students will turn their cell phones off or put them on vibrate mode while in class.  They will not answer their phones in class.  Students whose phones disrupt the course and do not stop when requested by the instructor will be referred to the Judicial Affairs Officer of the University.</w:t>
      </w:r>
    </w:p>
    <w:p>
      <w:pPr>
        <w:pStyle w:val="Head2"/>
      </w:pPr>
      <w:r>
        <w:t>Computer Use</w:t>
      </w:r>
    </w:p>
    <w:p>
      <w:pPr>
        <w:pStyle w:val="BodyTextNoIndent"/>
      </w:pPr>
      <w:r>
        <w:t xml:space="preserve">In the classroom, faculty allows students to use computers only for class-related activities.  These include activities such as taking notes on the lecture underway, following the lecture on Web-based PowerPoint slides that the instructor has posted, and finding Web sites to which the instructor directs students at the time of the lecture.  Students who use their computers for other activities or who abuse the equipment in any way, at a minimum, will be asked to leave the class.  They will lose participation points for the day, and, at a maximum, will be referred to the Judicial Affairs Officer of the University for disrupting the course.  (Such referral can lead to suspension from the University.)  Students are urged to report to their instructors computer use that they regard as inappropriate (i.e., used for activities that are not class related). </w:t>
      </w:r>
    </w:p>
    <w:p>
      <w:pPr>
        <w:pStyle w:val="Head2"/>
      </w:pPr>
      <w:r>
        <w:t xml:space="preserve">Academic Honesty </w:t>
      </w:r>
    </w:p>
    <w:p>
      <w:pPr>
        <w:pStyle w:val="BodyTextNoIndent"/>
      </w:pPr>
      <w:r>
        <w:t xml:space="preserve">Faculty will make every reasonable effort to foster honest academic conduct in their courses.  They will secure examinations and their answers so those students cannot have prior access to them and proctor examinations to prevent students from copying or exchanging information.  They will be on the alert for plagiarism.  Faculty will provide additional information, ideally on the green sheet, about other unacceptable procedures in class work and examinations.  Students who are caught cheating will be reported to the Judicial Affairs Officer of the University, as prescribed by Academic Senate Policy </w:t>
      </w:r>
      <w:proofErr w:type="spellStart"/>
      <w:r>
        <w:t>S98</w:t>
      </w:r>
      <w:proofErr w:type="spellEnd"/>
      <w:r>
        <w:t>-1.</w:t>
      </w:r>
    </w:p>
    <w:p>
      <w:pPr>
        <w:pStyle w:val="BodyTextNoIndent"/>
      </w:pPr>
      <w:r>
        <w:t xml:space="preserve">4/04 </w:t>
      </w:r>
      <w:smartTag w:uri="urn:schemas-microsoft-com:office:smarttags" w:element="City">
        <w:r>
          <w:t>Mission</w:t>
        </w:r>
      </w:smartTag>
      <w:r>
        <w:t xml:space="preserve"> - The </w:t>
      </w:r>
      <w:smartTag w:uri="urn:schemas-microsoft-com:office:smarttags" w:element="PlaceType">
        <w:r>
          <w:t>College</w:t>
        </w:r>
      </w:smartTag>
      <w:r>
        <w:t xml:space="preserve"> of </w:t>
      </w:r>
      <w:smartTag w:uri="urn:schemas-microsoft-com:office:smarttags" w:element="PlaceName">
        <w:r>
          <w:t>Business</w:t>
        </w:r>
      </w:smartTag>
      <w:r>
        <w:t xml:space="preserve"> is the institution of opportunity, providing innovative business education and applied research for the </w:t>
      </w:r>
      <w:smartTag w:uri="urn:schemas-microsoft-com:office:smarttags" w:element="place">
        <w:r>
          <w:t>Silicon Valley</w:t>
        </w:r>
      </w:smartTag>
      <w:r>
        <w:t xml:space="preserve"> region.</w:t>
      </w:r>
    </w:p>
    <w:p>
      <w:pPr>
        <w:pStyle w:val="Head1"/>
      </w:pPr>
      <w:r>
        <w:t>BASIS OF GRADE</w:t>
      </w:r>
    </w:p>
    <w:p>
      <w:pPr>
        <w:pStyle w:val="BodyTextNoIndent"/>
      </w:pPr>
      <w:r>
        <w:t>The student’s grade and the examination will be based upon the following criteria and allotted the following weight:</w:t>
      </w:r>
    </w:p>
    <w:tbl>
      <w:tblPr>
        <w:tblW w:w="0" w:type="auto"/>
        <w:tblLook w:val="01E0" w:firstRow="1" w:lastRow="1" w:firstColumn="1" w:lastColumn="1" w:noHBand="0" w:noVBand="0"/>
      </w:tblPr>
      <w:tblGrid>
        <w:gridCol w:w="3132"/>
        <w:gridCol w:w="7596"/>
      </w:tblGrid>
      <w:tr>
        <w:tc>
          <w:tcPr>
            <w:tcW w:w="3132" w:type="dxa"/>
            <w:shd w:val="clear" w:color="auto" w:fill="auto"/>
          </w:tcPr>
          <w:p>
            <w:pPr>
              <w:pStyle w:val="BodyTextNoIndent"/>
              <w:spacing w:after="0"/>
              <w:rPr>
                <w:u w:val="single"/>
              </w:rPr>
            </w:pPr>
            <w:r>
              <w:rPr>
                <w:u w:val="single"/>
              </w:rPr>
              <w:t>Endeavor</w:t>
            </w:r>
          </w:p>
        </w:tc>
        <w:tc>
          <w:tcPr>
            <w:tcW w:w="7596" w:type="dxa"/>
            <w:shd w:val="clear" w:color="auto" w:fill="auto"/>
          </w:tcPr>
          <w:p>
            <w:pPr>
              <w:pStyle w:val="BodyTextNoIndent"/>
              <w:spacing w:after="0"/>
              <w:rPr>
                <w:u w:val="single"/>
              </w:rPr>
            </w:pPr>
            <w:r>
              <w:rPr>
                <w:u w:val="single"/>
              </w:rPr>
              <w:t>Weight of Grade</w:t>
            </w:r>
          </w:p>
        </w:tc>
      </w:tr>
      <w:tr>
        <w:tc>
          <w:tcPr>
            <w:tcW w:w="3132" w:type="dxa"/>
            <w:shd w:val="clear" w:color="auto" w:fill="auto"/>
          </w:tcPr>
          <w:p>
            <w:pPr>
              <w:pStyle w:val="BodyTextNoIndent"/>
              <w:spacing w:after="0"/>
            </w:pPr>
            <w:r>
              <w:t>Court Project</w:t>
            </w:r>
          </w:p>
        </w:tc>
        <w:tc>
          <w:tcPr>
            <w:tcW w:w="7596" w:type="dxa"/>
            <w:shd w:val="clear" w:color="auto" w:fill="auto"/>
          </w:tcPr>
          <w:p>
            <w:pPr>
              <w:pStyle w:val="BodyTextNoIndent"/>
              <w:spacing w:after="0"/>
            </w:pPr>
            <w:r>
              <w:t>20%</w:t>
            </w:r>
          </w:p>
        </w:tc>
      </w:tr>
      <w:tr>
        <w:tc>
          <w:tcPr>
            <w:tcW w:w="3132" w:type="dxa"/>
            <w:shd w:val="clear" w:color="auto" w:fill="auto"/>
          </w:tcPr>
          <w:p>
            <w:pPr>
              <w:pStyle w:val="BodyTextNoIndent"/>
              <w:spacing w:after="0"/>
            </w:pPr>
            <w:r>
              <w:t>Midterm Examination #1</w:t>
            </w:r>
          </w:p>
        </w:tc>
        <w:tc>
          <w:tcPr>
            <w:tcW w:w="7596" w:type="dxa"/>
            <w:shd w:val="clear" w:color="auto" w:fill="auto"/>
          </w:tcPr>
          <w:p>
            <w:pPr>
              <w:pStyle w:val="BodyTextNoIndent"/>
              <w:spacing w:after="0"/>
            </w:pPr>
            <w:r>
              <w:t>25%</w:t>
            </w:r>
          </w:p>
        </w:tc>
      </w:tr>
      <w:tr>
        <w:tc>
          <w:tcPr>
            <w:tcW w:w="3132" w:type="dxa"/>
            <w:shd w:val="clear" w:color="auto" w:fill="auto"/>
          </w:tcPr>
          <w:p>
            <w:pPr>
              <w:pStyle w:val="BodyTextNoIndent"/>
              <w:spacing w:after="0"/>
            </w:pPr>
            <w:r>
              <w:t>Midterm Examination #2</w:t>
            </w:r>
          </w:p>
        </w:tc>
        <w:tc>
          <w:tcPr>
            <w:tcW w:w="7596" w:type="dxa"/>
            <w:shd w:val="clear" w:color="auto" w:fill="auto"/>
          </w:tcPr>
          <w:p>
            <w:pPr>
              <w:pStyle w:val="BodyTextNoIndent"/>
              <w:spacing w:after="0"/>
            </w:pPr>
            <w:r>
              <w:t>25%</w:t>
            </w:r>
          </w:p>
        </w:tc>
      </w:tr>
      <w:tr>
        <w:tc>
          <w:tcPr>
            <w:tcW w:w="3132" w:type="dxa"/>
            <w:shd w:val="clear" w:color="auto" w:fill="auto"/>
          </w:tcPr>
          <w:p>
            <w:pPr>
              <w:pStyle w:val="BodyTextNoIndent"/>
              <w:spacing w:after="0"/>
            </w:pPr>
            <w:r>
              <w:t>Final Examination</w:t>
            </w:r>
          </w:p>
        </w:tc>
        <w:tc>
          <w:tcPr>
            <w:tcW w:w="7596" w:type="dxa"/>
            <w:shd w:val="clear" w:color="auto" w:fill="auto"/>
          </w:tcPr>
          <w:p>
            <w:pPr>
              <w:pStyle w:val="BodyTextNoIndent"/>
              <w:spacing w:after="0"/>
            </w:pPr>
            <w:r>
              <w:t>30%</w:t>
            </w:r>
          </w:p>
        </w:tc>
      </w:tr>
    </w:tbl>
    <w:p/>
    <w:p>
      <w:pPr>
        <w:pStyle w:val="Head1"/>
      </w:pPr>
      <w:r>
        <w:lastRenderedPageBreak/>
        <w:t>MAKE-UP POLICY and EXTRA CREDIT</w:t>
      </w:r>
    </w:p>
    <w:p>
      <w:pPr>
        <w:pStyle w:val="BodyTextNoIndent"/>
        <w:keepNext/>
      </w:pPr>
      <w:r>
        <w:t>If a student misses an examination the student will, upon a showing of good cause, be able to take the examination.  To ensure fairness, the examination may not be identical to the one presented to the class.  Concerning classes which are missed, it will be the student’s responsibility to obtain whatever information was presented in class from a classmate.  An Extra Credit project is available which will add 10% to your grade</w:t>
      </w:r>
    </w:p>
    <w:p>
      <w:pPr>
        <w:widowControl w:val="0"/>
        <w:spacing w:after="240"/>
        <w:jc w:val="center"/>
        <w:rPr>
          <w:rFonts w:ascii="Verdana" w:hAnsi="Verdana"/>
          <w:b/>
          <w:i/>
          <w:sz w:val="28"/>
          <w:szCs w:val="28"/>
          <w:u w:val="single"/>
        </w:rPr>
      </w:pPr>
      <w:r>
        <w:rPr>
          <w:rFonts w:ascii="Verdana" w:hAnsi="Verdana"/>
          <w:b/>
          <w:i/>
          <w:sz w:val="28"/>
          <w:szCs w:val="28"/>
        </w:rPr>
        <w:t>SJSU FIRST DAY OF INSTRUCTION</w:t>
      </w:r>
      <w:r>
        <w:rPr>
          <w:rFonts w:ascii="Verdana" w:hAnsi="Verdana"/>
          <w:b/>
          <w:i/>
          <w:sz w:val="28"/>
          <w:szCs w:val="28"/>
        </w:rPr>
        <w:br/>
      </w:r>
      <w:r>
        <w:rPr>
          <w:rFonts w:ascii="Verdana" w:hAnsi="Verdana"/>
          <w:b/>
          <w:i/>
          <w:sz w:val="28"/>
          <w:szCs w:val="28"/>
          <w:u w:val="single"/>
        </w:rPr>
        <w:t>TUESDAY AUGUST 21, 2018</w:t>
      </w:r>
    </w:p>
    <w:p>
      <w:pPr>
        <w:pStyle w:val="Heading1"/>
        <w:widowControl w:val="0"/>
        <w:numPr>
          <w:ilvl w:val="0"/>
          <w:numId w:val="0"/>
        </w:numPr>
        <w:rPr>
          <w:b/>
        </w:rPr>
      </w:pPr>
      <w:r>
        <w:rPr>
          <w:b/>
        </w:rPr>
        <w:t>CAMPUS RECESS/CLOSING</w:t>
      </w:r>
    </w:p>
    <w:p>
      <w:pPr>
        <w:pStyle w:val="BodyTextNoIndent"/>
      </w:pPr>
      <w:r>
        <w:t>Monday:  September 3, 2018</w:t>
      </w:r>
      <w:r>
        <w:br/>
        <w:t>Monday:  November 12, 2013</w:t>
      </w:r>
      <w:r>
        <w:br/>
        <w:t>Wednesday-Friday:  November 21-23, 2018</w:t>
      </w:r>
      <w:r>
        <w:br/>
      </w:r>
    </w:p>
    <w:p>
      <w:pPr>
        <w:pStyle w:val="Heading1"/>
        <w:widowControl w:val="0"/>
        <w:numPr>
          <w:ilvl w:val="0"/>
          <w:numId w:val="0"/>
        </w:numPr>
        <w:rPr>
          <w:b/>
        </w:rPr>
      </w:pPr>
      <w:r>
        <w:rPr>
          <w:b/>
        </w:rPr>
        <w:t>SCHEDULE</w:t>
      </w:r>
    </w:p>
    <w:tbl>
      <w:tblPr>
        <w:tblW w:w="0" w:type="auto"/>
        <w:tblLayout w:type="fixed"/>
        <w:tblLook w:val="0000" w:firstRow="0" w:lastRow="0" w:firstColumn="0" w:lastColumn="0" w:noHBand="0" w:noVBand="0"/>
      </w:tblPr>
      <w:tblGrid>
        <w:gridCol w:w="1998"/>
        <w:gridCol w:w="7020"/>
        <w:gridCol w:w="1710"/>
      </w:tblGrid>
      <w:tr>
        <w:trPr>
          <w:cantSplit/>
          <w:tblHeader/>
        </w:trPr>
        <w:tc>
          <w:tcPr>
            <w:tcW w:w="1998" w:type="dxa"/>
          </w:tcPr>
          <w:p>
            <w:pPr>
              <w:pStyle w:val="BodyTextNoIndent"/>
              <w:rPr>
                <w:b/>
              </w:rPr>
            </w:pPr>
            <w:r>
              <w:rPr>
                <w:b/>
              </w:rPr>
              <w:t>Date</w:t>
            </w:r>
          </w:p>
        </w:tc>
        <w:tc>
          <w:tcPr>
            <w:tcW w:w="7020" w:type="dxa"/>
          </w:tcPr>
          <w:p>
            <w:pPr>
              <w:pStyle w:val="BodyTextNoIndent"/>
              <w:rPr>
                <w:b/>
              </w:rPr>
            </w:pPr>
            <w:r>
              <w:rPr>
                <w:b/>
              </w:rPr>
              <w:t>Business Law Issues Not Exclusive to the Hospitality and Recreation Industry</w:t>
            </w:r>
          </w:p>
        </w:tc>
        <w:tc>
          <w:tcPr>
            <w:tcW w:w="1710" w:type="dxa"/>
          </w:tcPr>
          <w:p>
            <w:pPr>
              <w:pStyle w:val="BodyTextNoIndent"/>
              <w:rPr>
                <w:b/>
              </w:rPr>
            </w:pPr>
            <w:smartTag w:uri="urn:schemas-microsoft-com:office:smarttags" w:element="place">
              <w:smartTag w:uri="urn:schemas-microsoft-com:office:smarttags" w:element="City">
                <w:r>
                  <w:rPr>
                    <w:b/>
                  </w:rPr>
                  <w:t>Reading</w:t>
                </w:r>
              </w:smartTag>
            </w:smartTag>
          </w:p>
        </w:tc>
      </w:tr>
      <w:tr>
        <w:trPr>
          <w:cantSplit/>
        </w:trPr>
        <w:tc>
          <w:tcPr>
            <w:tcW w:w="1998" w:type="dxa"/>
          </w:tcPr>
          <w:p>
            <w:pPr>
              <w:pStyle w:val="BodyTextNoIndent"/>
              <w:rPr>
                <w:b/>
              </w:rPr>
            </w:pPr>
            <w:r>
              <w:rPr>
                <w:b/>
              </w:rPr>
              <w:t>Week 1-2</w:t>
            </w:r>
          </w:p>
        </w:tc>
        <w:tc>
          <w:tcPr>
            <w:tcW w:w="7020" w:type="dxa"/>
          </w:tcPr>
          <w:p>
            <w:pPr>
              <w:pStyle w:val="BodyTextNoIndent"/>
            </w:pPr>
            <w:r>
              <w:t>The lectures over this period of time are designed to introduce the student to the law, how it is made, and where it can be found.  Focus is put on business ethics and understanding the court system.  Distinctions will be made between civil systems and criminal systems.  The student will be afforded the opportunity to learn how a case travels through the court system and what happens at the various stages.  Ethical considerations will be introduced.  At the end of this section of the course, the student should have a working knowledge as to how to handle and participate in a case if his or her business gets involved in litigation.</w:t>
            </w:r>
          </w:p>
        </w:tc>
        <w:tc>
          <w:tcPr>
            <w:tcW w:w="1710" w:type="dxa"/>
          </w:tcPr>
          <w:p>
            <w:pPr>
              <w:pStyle w:val="BodyTextNoIndent"/>
            </w:pPr>
            <w:r>
              <w:rPr>
                <w:b/>
              </w:rPr>
              <w:t>Barth 1 &amp; 2</w:t>
            </w:r>
            <w:r>
              <w:rPr>
                <w:b/>
              </w:rPr>
              <w:br/>
            </w:r>
            <w:r>
              <w:t>West’s, Chapters</w:t>
            </w:r>
            <w:r>
              <w:br/>
              <w:t>1, 2, 3, 4 and 5</w:t>
            </w:r>
          </w:p>
        </w:tc>
      </w:tr>
      <w:tr>
        <w:trPr>
          <w:cantSplit/>
        </w:trPr>
        <w:tc>
          <w:tcPr>
            <w:tcW w:w="1998" w:type="dxa"/>
          </w:tcPr>
          <w:p>
            <w:pPr>
              <w:pStyle w:val="BodyTextNoIndent"/>
              <w:rPr>
                <w:b/>
              </w:rPr>
            </w:pPr>
            <w:r>
              <w:rPr>
                <w:b/>
              </w:rPr>
              <w:t>Week 3-4</w:t>
            </w:r>
          </w:p>
        </w:tc>
        <w:tc>
          <w:tcPr>
            <w:tcW w:w="7020" w:type="dxa"/>
          </w:tcPr>
          <w:p>
            <w:pPr>
              <w:pStyle w:val="BodyTextNoIndent"/>
            </w:pPr>
            <w:r>
              <w:t>The lecture during this period will review the various forms of business organizations including but not limited to partnerships and corporations.  The student will learn how to limit his or her liability and what type form of organization is best for the particular hospitality business.</w:t>
            </w:r>
          </w:p>
        </w:tc>
        <w:tc>
          <w:tcPr>
            <w:tcW w:w="1710" w:type="dxa"/>
          </w:tcPr>
          <w:p>
            <w:pPr>
              <w:pStyle w:val="BodyTextNoIndent"/>
            </w:pPr>
            <w:r>
              <w:rPr>
                <w:b/>
              </w:rPr>
              <w:t>Barth 3</w:t>
            </w:r>
            <w:r>
              <w:rPr>
                <w:b/>
              </w:rPr>
              <w:br/>
            </w:r>
            <w:r>
              <w:t>West’s, Chapters</w:t>
            </w:r>
            <w:r>
              <w:br/>
              <w:t>35-42</w:t>
            </w:r>
            <w:r>
              <w:br/>
            </w:r>
          </w:p>
        </w:tc>
      </w:tr>
      <w:tr>
        <w:trPr>
          <w:cantSplit/>
        </w:trPr>
        <w:tc>
          <w:tcPr>
            <w:tcW w:w="1998" w:type="dxa"/>
          </w:tcPr>
          <w:p>
            <w:pPr>
              <w:pStyle w:val="BodyTextNoIndent"/>
              <w:rPr>
                <w:b/>
              </w:rPr>
            </w:pPr>
            <w:r>
              <w:rPr>
                <w:b/>
              </w:rPr>
              <w:t>Week 5-6</w:t>
            </w:r>
          </w:p>
        </w:tc>
        <w:tc>
          <w:tcPr>
            <w:tcW w:w="7020" w:type="dxa"/>
          </w:tcPr>
          <w:p>
            <w:pPr>
              <w:pStyle w:val="BodyTextNoIndent"/>
            </w:pPr>
            <w:r>
              <w:t>The lectures over this period of time will introduce the student to the fundamentals of contract law.  Many of the basic fundamental principles of contract law will be explored.  Also, there will be an introduction to various types of contracts involving other areas of law, such as leases, checks and negotiable instruments.  The student will be expected to learn and understand his or her respective rights and obligations when entering into contractual arrangements.  Once the foundation of information is established, contracts unique to hospitality will be examined.</w:t>
            </w:r>
          </w:p>
        </w:tc>
        <w:tc>
          <w:tcPr>
            <w:tcW w:w="1710" w:type="dxa"/>
          </w:tcPr>
          <w:p>
            <w:pPr>
              <w:pStyle w:val="BodyTextNoIndent"/>
            </w:pPr>
            <w:r>
              <w:rPr>
                <w:b/>
              </w:rPr>
              <w:t>Barth 4 &amp; 5</w:t>
            </w:r>
            <w:r>
              <w:rPr>
                <w:b/>
              </w:rPr>
              <w:br/>
            </w:r>
            <w:r>
              <w:t>West’s, Chapters</w:t>
            </w:r>
            <w:r>
              <w:br/>
              <w:t>9-18</w:t>
            </w:r>
          </w:p>
        </w:tc>
      </w:tr>
      <w:tr>
        <w:trPr>
          <w:cantSplit/>
        </w:trPr>
        <w:tc>
          <w:tcPr>
            <w:tcW w:w="1998" w:type="dxa"/>
          </w:tcPr>
          <w:p>
            <w:pPr>
              <w:pStyle w:val="BodyTextNoIndent"/>
              <w:rPr>
                <w:b/>
              </w:rPr>
            </w:pPr>
            <w:r>
              <w:rPr>
                <w:b/>
              </w:rPr>
              <w:t>Week 7-8</w:t>
            </w:r>
          </w:p>
        </w:tc>
        <w:tc>
          <w:tcPr>
            <w:tcW w:w="7020" w:type="dxa"/>
          </w:tcPr>
          <w:p>
            <w:pPr>
              <w:pStyle w:val="BodyTextNoIndent"/>
            </w:pPr>
            <w:r>
              <w:t>The lecture will introduce the student to concept of intellectual property and real property law and how it relates to business.  Particular focus will be placed on protecting intellectual property rights and the new trends in the law.</w:t>
            </w:r>
          </w:p>
        </w:tc>
        <w:tc>
          <w:tcPr>
            <w:tcW w:w="1710" w:type="dxa"/>
          </w:tcPr>
          <w:p>
            <w:pPr>
              <w:pStyle w:val="BodyTextNoIndent"/>
            </w:pPr>
            <w:r>
              <w:rPr>
                <w:b/>
              </w:rPr>
              <w:t>Barth 6</w:t>
            </w:r>
            <w:r>
              <w:rPr>
                <w:b/>
              </w:rPr>
              <w:br/>
            </w:r>
            <w:r>
              <w:t>West’s, Chapters</w:t>
            </w:r>
            <w:r>
              <w:br/>
              <w:t>8 &amp; 9</w:t>
            </w:r>
          </w:p>
        </w:tc>
      </w:tr>
      <w:tr>
        <w:trPr>
          <w:cantSplit/>
        </w:trPr>
        <w:tc>
          <w:tcPr>
            <w:tcW w:w="1998" w:type="dxa"/>
          </w:tcPr>
          <w:p>
            <w:pPr>
              <w:pStyle w:val="BodyTextNoIndent"/>
              <w:rPr>
                <w:b/>
              </w:rPr>
            </w:pPr>
            <w:r>
              <w:rPr>
                <w:b/>
              </w:rPr>
              <w:t>Week 9-10</w:t>
            </w:r>
          </w:p>
        </w:tc>
        <w:tc>
          <w:tcPr>
            <w:tcW w:w="7020" w:type="dxa"/>
          </w:tcPr>
          <w:p>
            <w:pPr>
              <w:pStyle w:val="BodyTextNoIndent"/>
            </w:pPr>
            <w:r>
              <w:t>The lecture during this period of time will introduce the student to the concepts of agency and how a business may be liable for the acts of its employees and others acting on behalf of the business.  Issues of employment law unique to hospitality will also come into play.  By the end of this section, the student should have an understanding of the liabilities created by those who work for the business and how to avoid those liabilities.</w:t>
            </w:r>
          </w:p>
        </w:tc>
        <w:tc>
          <w:tcPr>
            <w:tcW w:w="1710" w:type="dxa"/>
          </w:tcPr>
          <w:p>
            <w:pPr>
              <w:pStyle w:val="BodyTextNoIndent"/>
            </w:pPr>
            <w:r>
              <w:rPr>
                <w:b/>
              </w:rPr>
              <w:t>Barth 7 &amp; 8</w:t>
            </w:r>
            <w:r>
              <w:rPr>
                <w:b/>
              </w:rPr>
              <w:br/>
            </w:r>
            <w:r>
              <w:t>West’s, Chapters</w:t>
            </w:r>
            <w:r>
              <w:br/>
              <w:t>31-34</w:t>
            </w:r>
            <w:r>
              <w:br/>
            </w:r>
          </w:p>
        </w:tc>
      </w:tr>
      <w:tr>
        <w:trPr>
          <w:cantSplit/>
        </w:trPr>
        <w:tc>
          <w:tcPr>
            <w:tcW w:w="1998" w:type="dxa"/>
          </w:tcPr>
          <w:p>
            <w:pPr>
              <w:pStyle w:val="BodyTextNoIndent"/>
              <w:rPr>
                <w:b/>
              </w:rPr>
            </w:pPr>
            <w:r>
              <w:rPr>
                <w:b/>
              </w:rPr>
              <w:t>Week 11-12</w:t>
            </w:r>
          </w:p>
        </w:tc>
        <w:tc>
          <w:tcPr>
            <w:tcW w:w="7020" w:type="dxa"/>
          </w:tcPr>
          <w:p>
            <w:pPr>
              <w:pStyle w:val="BodyTextNoIndent"/>
            </w:pPr>
            <w:r>
              <w:t>The lectures over this period of time will focus on issues of business liability.  The student first will be introduced to the concept of tort liability.  A distinction will be made between tort liability and contract liability.  The student will be expected to understand and analyze concepts of the various business torts.  Insurance coverage issues will also be covered.  Concludes with cases dealing specifically with hospitality cases.</w:t>
            </w:r>
          </w:p>
        </w:tc>
        <w:tc>
          <w:tcPr>
            <w:tcW w:w="1710" w:type="dxa"/>
          </w:tcPr>
          <w:p>
            <w:pPr>
              <w:pStyle w:val="BodyTextNoIndent"/>
            </w:pPr>
            <w:r>
              <w:rPr>
                <w:b/>
              </w:rPr>
              <w:t>Barth 9, 14 &amp; 15</w:t>
            </w:r>
            <w:r>
              <w:rPr>
                <w:b/>
              </w:rPr>
              <w:br/>
            </w:r>
            <w:r>
              <w:t>West’s, Chapters</w:t>
            </w:r>
            <w:r>
              <w:br/>
              <w:t xml:space="preserve">6,7 &amp; 49 </w:t>
            </w:r>
          </w:p>
        </w:tc>
      </w:tr>
      <w:tr>
        <w:trPr>
          <w:cantSplit/>
        </w:trPr>
        <w:tc>
          <w:tcPr>
            <w:tcW w:w="1998" w:type="dxa"/>
          </w:tcPr>
          <w:p>
            <w:pPr>
              <w:pStyle w:val="BodyTextNoIndent"/>
              <w:rPr>
                <w:b/>
              </w:rPr>
            </w:pPr>
            <w:r>
              <w:rPr>
                <w:b/>
              </w:rPr>
              <w:t>Week 13</w:t>
            </w:r>
          </w:p>
        </w:tc>
        <w:tc>
          <w:tcPr>
            <w:tcW w:w="7020" w:type="dxa"/>
          </w:tcPr>
          <w:p>
            <w:pPr>
              <w:pStyle w:val="BodyTextNoIndent"/>
            </w:pPr>
            <w:r>
              <w:t>The lecture will focus on your responsibilities as a hotel operator to your guests, including issues involving legal obligations to accommodate guests, guest privacy, facility maintenance, and legal responsibilities to non</w:t>
            </w:r>
            <w:r>
              <w:noBreakHyphen/>
              <w:t>guests.</w:t>
            </w:r>
          </w:p>
        </w:tc>
        <w:tc>
          <w:tcPr>
            <w:tcW w:w="1710" w:type="dxa"/>
          </w:tcPr>
          <w:p>
            <w:pPr>
              <w:pStyle w:val="BodyTextNoIndent"/>
              <w:rPr>
                <w:b/>
              </w:rPr>
            </w:pPr>
            <w:r>
              <w:rPr>
                <w:b/>
              </w:rPr>
              <w:t>Barth 10</w:t>
            </w:r>
          </w:p>
        </w:tc>
      </w:tr>
      <w:tr>
        <w:trPr>
          <w:cantSplit/>
        </w:trPr>
        <w:tc>
          <w:tcPr>
            <w:tcW w:w="1998" w:type="dxa"/>
          </w:tcPr>
          <w:p>
            <w:pPr>
              <w:pStyle w:val="BodyTextNoIndent"/>
              <w:rPr>
                <w:b/>
              </w:rPr>
            </w:pPr>
            <w:r>
              <w:rPr>
                <w:b/>
              </w:rPr>
              <w:lastRenderedPageBreak/>
              <w:t>Week 14</w:t>
            </w:r>
          </w:p>
        </w:tc>
        <w:tc>
          <w:tcPr>
            <w:tcW w:w="7020" w:type="dxa"/>
          </w:tcPr>
          <w:p>
            <w:pPr>
              <w:pStyle w:val="BodyTextNoIndent"/>
            </w:pPr>
            <w:r>
              <w:t>The lecture during this period will cover the unique rules applicable to the hospitality industry concerning the loss of personal property.  The focus will be on special bailment rules applicable to hotels.</w:t>
            </w:r>
          </w:p>
        </w:tc>
        <w:tc>
          <w:tcPr>
            <w:tcW w:w="1710" w:type="dxa"/>
          </w:tcPr>
          <w:p>
            <w:pPr>
              <w:pStyle w:val="BodyTextNoIndent"/>
              <w:rPr>
                <w:b/>
              </w:rPr>
            </w:pPr>
            <w:r>
              <w:rPr>
                <w:b/>
              </w:rPr>
              <w:t>Barth 11</w:t>
            </w:r>
          </w:p>
        </w:tc>
      </w:tr>
      <w:tr>
        <w:trPr>
          <w:cantSplit/>
        </w:trPr>
        <w:tc>
          <w:tcPr>
            <w:tcW w:w="1998" w:type="dxa"/>
          </w:tcPr>
          <w:p>
            <w:pPr>
              <w:pStyle w:val="BodyTextNoIndent"/>
              <w:rPr>
                <w:b/>
              </w:rPr>
            </w:pPr>
            <w:r>
              <w:rPr>
                <w:b/>
              </w:rPr>
              <w:t>Week 15</w:t>
            </w:r>
          </w:p>
        </w:tc>
        <w:tc>
          <w:tcPr>
            <w:tcW w:w="7020" w:type="dxa"/>
          </w:tcPr>
          <w:p>
            <w:pPr>
              <w:pStyle w:val="BodyTextNoIndent"/>
            </w:pPr>
            <w:r>
              <w:t>The focus of this lecture will be on your responsibilities when serving food and beverages.  Alcohol liability will be reviewed and we will review the legal liability for serving adulterated food.</w:t>
            </w:r>
          </w:p>
        </w:tc>
        <w:tc>
          <w:tcPr>
            <w:tcW w:w="1710" w:type="dxa"/>
          </w:tcPr>
          <w:p>
            <w:pPr>
              <w:pStyle w:val="BodyTextNoIndent"/>
              <w:rPr>
                <w:b/>
              </w:rPr>
            </w:pPr>
            <w:r>
              <w:rPr>
                <w:b/>
              </w:rPr>
              <w:t>Barth 12</w:t>
            </w:r>
          </w:p>
        </w:tc>
      </w:tr>
      <w:tr>
        <w:trPr>
          <w:cantSplit/>
        </w:trPr>
        <w:tc>
          <w:tcPr>
            <w:tcW w:w="1998" w:type="dxa"/>
          </w:tcPr>
          <w:p>
            <w:pPr>
              <w:pStyle w:val="BodyTextNoIndent"/>
              <w:rPr>
                <w:b/>
              </w:rPr>
            </w:pPr>
            <w:r>
              <w:rPr>
                <w:b/>
              </w:rPr>
              <w:t>Week 16</w:t>
            </w:r>
          </w:p>
        </w:tc>
        <w:tc>
          <w:tcPr>
            <w:tcW w:w="7020" w:type="dxa"/>
          </w:tcPr>
          <w:p>
            <w:pPr>
              <w:pStyle w:val="BodyTextNoIndent"/>
            </w:pPr>
            <w:r>
              <w:t xml:space="preserve">Legal issues regarding travel and tourism will be covered.  We will focus on the nature of the travel business and the unique relationship travel agents and tour operators have to their clients.  </w:t>
            </w:r>
          </w:p>
        </w:tc>
        <w:tc>
          <w:tcPr>
            <w:tcW w:w="1710" w:type="dxa"/>
          </w:tcPr>
          <w:p>
            <w:pPr>
              <w:pStyle w:val="BodyTextNoIndent"/>
              <w:rPr>
                <w:b/>
              </w:rPr>
            </w:pPr>
            <w:r>
              <w:rPr>
                <w:b/>
              </w:rPr>
              <w:t>Barth 13</w:t>
            </w:r>
          </w:p>
        </w:tc>
      </w:tr>
    </w:tbl>
    <w:p>
      <w:pPr>
        <w:spacing w:after="600"/>
      </w:pPr>
    </w:p>
    <w:p>
      <w:pPr>
        <w:pStyle w:val="Para1"/>
        <w:ind w:firstLine="0"/>
        <w:jc w:val="center"/>
        <w:rPr>
          <w:b/>
          <w:bCs/>
          <w:color w:val="000000"/>
          <w:kern w:val="32"/>
          <w:szCs w:val="32"/>
        </w:rPr>
      </w:pPr>
      <w:r>
        <w:rPr>
          <w:b/>
          <w:bCs/>
          <w:color w:val="000000"/>
          <w:kern w:val="32"/>
          <w:szCs w:val="32"/>
        </w:rPr>
        <w:t>LAST DAY OF INSTRUCTION – MONDAY, DECEMBER 9, 2019</w:t>
      </w:r>
    </w:p>
    <w:p>
      <w:pPr>
        <w:pStyle w:val="Head2"/>
      </w:pPr>
      <w:r>
        <w:t>MIDTERM EXAMINATION</w:t>
      </w:r>
    </w:p>
    <w:p>
      <w:pPr>
        <w:pStyle w:val="BodyTextNoIndent"/>
        <w:spacing w:after="240"/>
      </w:pPr>
      <w:r>
        <w:t>There will be two midterm examinations.  The dates will be arranged.  It is designed to cover the materials covered in Weeks 1</w:t>
      </w:r>
      <w:r>
        <w:noBreakHyphen/>
        <w:t>5.  The second midterm examination is designed to cover the materials outlined in Weeks 5</w:t>
      </w:r>
      <w:r>
        <w:noBreakHyphen/>
        <w:t>10. The first and second midterms will also cover not only the materials set forth in the reading, but also the lecture material.  The final examination is designed to cover the material presented during Weeks 11</w:t>
      </w:r>
      <w:r>
        <w:noBreakHyphen/>
        <w:t>15.</w:t>
      </w:r>
    </w:p>
    <w:p>
      <w:pPr>
        <w:pStyle w:val="Head2"/>
      </w:pPr>
      <w:r>
        <w:t>FINALS WEEK</w:t>
      </w:r>
    </w:p>
    <w:p>
      <w:pPr>
        <w:pStyle w:val="BodyTextNoIndent"/>
        <w:spacing w:after="240"/>
      </w:pPr>
      <w:r>
        <w:t>Wednesday – Friday:  December 11-13, 2019</w:t>
      </w:r>
    </w:p>
    <w:p>
      <w:pPr>
        <w:pStyle w:val="BodyTextNoIndent"/>
        <w:spacing w:after="240"/>
      </w:pPr>
      <w:r>
        <w:t>Monday – Tuesday:  December 16-17, 2019</w:t>
      </w:r>
    </w:p>
    <w:p>
      <w:pPr>
        <w:pStyle w:val="Head2"/>
      </w:pPr>
      <w:r>
        <w:t>FINAL</w:t>
      </w:r>
    </w:p>
    <w:p>
      <w:pPr>
        <w:pStyle w:val="BodyTextNoIndent"/>
      </w:pPr>
      <w:r>
        <w:rPr>
          <w:b/>
          <w:bCs/>
        </w:rPr>
        <w:t>Section 1 #41804</w:t>
      </w:r>
      <w:r>
        <w:rPr>
          <w:b/>
          <w:bCs/>
        </w:rPr>
        <w:br/>
        <w:t xml:space="preserve">Class Time: Monday-Wednesday: </w:t>
      </w:r>
      <w:proofErr w:type="spellStart"/>
      <w:r>
        <w:rPr>
          <w:b/>
          <w:bCs/>
        </w:rPr>
        <w:t>10:30am</w:t>
      </w:r>
      <w:proofErr w:type="spellEnd"/>
      <w:r>
        <w:rPr>
          <w:b/>
          <w:bCs/>
        </w:rPr>
        <w:t xml:space="preserve"> – </w:t>
      </w:r>
      <w:proofErr w:type="spellStart"/>
      <w:r>
        <w:rPr>
          <w:b/>
          <w:bCs/>
        </w:rPr>
        <w:t>11:45am</w:t>
      </w:r>
      <w:proofErr w:type="spellEnd"/>
      <w:r>
        <w:rPr>
          <w:b/>
          <w:bCs/>
        </w:rPr>
        <w:t>:</w:t>
      </w:r>
      <w:r>
        <w:rPr>
          <w:bCs/>
        </w:rPr>
        <w:t xml:space="preserve">  Examination Time and Place Thursday, December 12, 2019 </w:t>
      </w:r>
      <w:r>
        <w:rPr>
          <w:bCs/>
        </w:rPr>
        <w:br/>
        <w:t>(</w:t>
      </w:r>
      <w:proofErr w:type="spellStart"/>
      <w:r>
        <w:rPr>
          <w:bCs/>
        </w:rPr>
        <w:t>9:45am</w:t>
      </w:r>
      <w:proofErr w:type="spellEnd"/>
      <w:r>
        <w:rPr>
          <w:bCs/>
        </w:rPr>
        <w:t xml:space="preserve"> – </w:t>
      </w:r>
      <w:proofErr w:type="spellStart"/>
      <w:r>
        <w:rPr>
          <w:bCs/>
        </w:rPr>
        <w:t>12:00pm</w:t>
      </w:r>
      <w:proofErr w:type="spellEnd"/>
      <w:r>
        <w:rPr>
          <w:bCs/>
        </w:rPr>
        <w:t>)</w:t>
      </w:r>
      <w:r>
        <w:t xml:space="preserve"> Sweeney Hall 120</w:t>
      </w:r>
    </w:p>
    <w:p>
      <w:pPr>
        <w:pStyle w:val="BodyTextNoIndent"/>
      </w:pPr>
      <w:bookmarkStart w:id="0" w:name="_GoBack"/>
      <w:bookmarkEnd w:id="0"/>
    </w:p>
    <w:p>
      <w:pPr>
        <w:pStyle w:val="BodyTextNoIndent"/>
      </w:pPr>
    </w:p>
    <w:sectPr>
      <w:footerReference w:type="default" r:id="rId7"/>
      <w:footerReference w:type="first" r:id="rId8"/>
      <w:type w:val="continuous"/>
      <w:pgSz w:w="12240" w:h="15840" w:code="1"/>
      <w:pgMar w:top="720" w:right="648" w:bottom="1440"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680"/>
        <w:tab w:val="center" w:pos="5220"/>
      </w:tabs>
    </w:pPr>
    <w:r>
      <w:tab/>
      <w:t>-</w:t>
    </w:r>
    <w:r>
      <w:fldChar w:fldCharType="begin"/>
    </w:r>
    <w:r>
      <w:instrText xml:space="preserve"> PAGE  \* Arabic  \* MERGEFORMAT </w:instrText>
    </w:r>
    <w:r>
      <w:fldChar w:fldCharType="separate"/>
    </w:r>
    <w:r>
      <w:rPr>
        <w:noProof/>
      </w:rPr>
      <w:t>2</w:t>
    </w:r>
    <w:r>
      <w:fldChar w:fldCharType="end"/>
    </w:r>
    <w:r>
      <w:t xml:space="preserve">- </w: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54610</wp:posOffset>
              </wp:positionV>
              <wp:extent cx="1244600" cy="330200"/>
              <wp:effectExtent l="0" t="0" r="3175" b="0"/>
              <wp:wrapNone/>
              <wp:docPr id="4" name="DocID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pStyle w:val="DOC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1" o:spid="_x0000_s1026" type="#_x0000_t202" style="position:absolute;margin-left:0;margin-top:4.3pt;width:98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" stroked="f">
              <v:textbox inset="0,0,0,0">
                <w:txbxContent>
                  <w:p>
                    <w:pPr>
                      <w:pStyle w:val="DOCID"/>
                    </w:pP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1243584" cy="274320"/>
              <wp:effectExtent l="0" t="0" r="13970" b="11430"/>
              <wp:wrapNone/>
              <wp:docPr id="2"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ID"/>
                          </w:pPr>
                          <w:r>
                            <w:t>4810-4895-9649v1</w:t>
                          </w:r>
                        </w:p>
                        <w:p>
                          <w:pPr>
                            <w:pStyle w:val="DOCID"/>
                          </w:pPr>
                          <w:r>
                            <w:t>JED\25608034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ID" o:spid="_x0000_s1027" type="#_x0000_t202" style="position:absolute;margin-left:0;margin-top:0;width:97.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" o:allowincell="f" filled="f" stroked="f">
              <v:textbox inset="0,0,0,0">
                <w:txbxContent>
                  <w:p>
                    <w:pPr>
                      <w:pStyle w:val="DOCID"/>
                    </w:pPr>
                    <w:r>
                      <w:t>4810-4895-9649v1</w:t>
                    </w:r>
                  </w:p>
                  <w:p>
                    <w:pPr>
                      <w:pStyle w:val="DOCID"/>
                    </w:pPr>
                    <w:r>
                      <w:t>JED\25608034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680"/>
        <w:tab w:val="center" w:pos="5220"/>
      </w:tabs>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54610</wp:posOffset>
              </wp:positionV>
              <wp:extent cx="1244600" cy="330200"/>
              <wp:effectExtent l="0" t="0" r="3175" b="0"/>
              <wp:wrapNone/>
              <wp:docPr id="1" name="DocID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pStyle w:val="DOC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4.3pt;width:98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" stroked="f">
              <v:textbox inset="0,0,0,0">
                <w:txbxContent>
                  <w:p>
                    <w:pPr>
                      <w:pStyle w:val="DOCID"/>
                    </w:pPr>
                  </w:p>
                </w:txbxContent>
              </v:textbox>
            </v:shape>
          </w:pict>
        </mc:Fallback>
      </mc:AlternateContent>
    </w:r>
    <w:r>
      <w:tab/>
      <w:t>-</w:t>
    </w:r>
    <w:r>
      <w:fldChar w:fldCharType="begin"/>
    </w:r>
    <w:r>
      <w:instrText xml:space="preserve"> PAGE  \* Arabic  </w:instrText>
    </w:r>
    <w:r>
      <w:fldChar w:fldCharType="separate"/>
    </w:r>
    <w:r>
      <w:rPr>
        <w:noProof/>
      </w:rPr>
      <w:t>1</w:t>
    </w:r>
    <w:r>
      <w:fldChar w:fldCharType="end"/>
    </w:r>
    <w:r>
      <w:t xml:space="preserve">- </w:t>
    </w:r>
    <w:r>
      <w:rPr>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1243584" cy="274320"/>
              <wp:effectExtent l="0" t="0" r="13970" b="11430"/>
              <wp:wrapNone/>
              <wp:docPr id="5"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ID"/>
                          </w:pPr>
                          <w:r>
                            <w:t>4810-4895-9649v1</w:t>
                          </w:r>
                        </w:p>
                        <w:p>
                          <w:pPr>
                            <w:pStyle w:val="DOCID"/>
                          </w:pPr>
                          <w:r>
                            <w:t>JED\25608034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0;width:97.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" o:allowincell="f" filled="f" stroked="f">
              <v:textbox inset="0,0,0,0">
                <w:txbxContent>
                  <w:p>
                    <w:pPr>
                      <w:pStyle w:val="DOCID"/>
                    </w:pPr>
                    <w:r>
                      <w:t>4810-4895-9649v1</w:t>
                    </w:r>
                  </w:p>
                  <w:p>
                    <w:pPr>
                      <w:pStyle w:val="DOCID"/>
                    </w:pPr>
                    <w:r>
                      <w:t>JED\25608034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2032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A49C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3CD5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88CF8"/>
    <w:lvl w:ilvl="0">
      <w:start w:val="1"/>
      <w:numFmt w:val="upperLetter"/>
      <w:lvlRestart w:val="0"/>
      <w:pStyle w:val="ListNumber2"/>
      <w:lvlText w:val="%1."/>
      <w:lvlJc w:val="left"/>
      <w:pPr>
        <w:ind w:left="0" w:firstLine="720"/>
      </w:pPr>
      <w:rPr>
        <w:b w:val="0"/>
        <w:i w:val="0"/>
        <w:caps w:val="0"/>
        <w:color w:val="010000"/>
        <w:sz w:val="24"/>
        <w:u w:val="none"/>
      </w:rPr>
    </w:lvl>
  </w:abstractNum>
  <w:abstractNum w:abstractNumId="4" w15:restartNumberingAfterBreak="0">
    <w:nsid w:val="FFFFFF80"/>
    <w:multiLevelType w:val="singleLevel"/>
    <w:tmpl w:val="6E229F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7209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EAA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0A96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EAF0EC"/>
    <w:lvl w:ilvl="0">
      <w:start w:val="1"/>
      <w:numFmt w:val="decimal"/>
      <w:lvlRestart w:val="0"/>
      <w:pStyle w:val="ListNumber"/>
      <w:lvlText w:val="SLO %1"/>
      <w:lvlJc w:val="left"/>
      <w:pPr>
        <w:tabs>
          <w:tab w:val="num" w:pos="720"/>
        </w:tabs>
        <w:ind w:left="0" w:firstLine="0"/>
      </w:pPr>
      <w:rPr>
        <w:rFonts w:ascii="Arial" w:hAnsi="Arial" w:cs="Times New Roman" w:hint="default"/>
        <w:b w:val="0"/>
        <w:i w:val="0"/>
        <w:caps w:val="0"/>
        <w:color w:val="010000"/>
        <w:sz w:val="18"/>
        <w:u w:val="none"/>
      </w:rPr>
    </w:lvl>
  </w:abstractNum>
  <w:abstractNum w:abstractNumId="9" w15:restartNumberingAfterBreak="0">
    <w:nsid w:val="FFFFFF89"/>
    <w:multiLevelType w:val="singleLevel"/>
    <w:tmpl w:val="4AB805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56207"/>
    <w:multiLevelType w:val="multilevel"/>
    <w:tmpl w:val="6D666DE2"/>
    <w:lvl w:ilvl="0">
      <w:start w:val="1"/>
      <w:numFmt w:val="decimal"/>
      <w:lvlRestart w:val="0"/>
      <w:pStyle w:val="Heading1"/>
      <w:lvlText w:val="%1."/>
      <w:lvlJc w:val="left"/>
      <w:pPr>
        <w:ind w:left="1440" w:hanging="720"/>
      </w:pPr>
      <w:rPr>
        <w:rFonts w:ascii="Times New Roman" w:hAnsi="Times New Roman" w:cs="Times New Roman"/>
        <w:b w:val="0"/>
        <w:i w:val="0"/>
        <w:color w:val="000000"/>
        <w:sz w:val="24"/>
        <w:u w:val="none"/>
      </w:rPr>
    </w:lvl>
    <w:lvl w:ilvl="1">
      <w:start w:val="1"/>
      <w:numFmt w:val="lowerLetter"/>
      <w:pStyle w:val="Heading2"/>
      <w:lvlText w:val="(%2)"/>
      <w:lvlJc w:val="left"/>
      <w:pPr>
        <w:ind w:left="2160" w:hanging="720"/>
      </w:pPr>
      <w:rPr>
        <w:rFonts w:ascii="Times New Roman" w:hAnsi="Times New Roman" w:cs="Times New Roman"/>
        <w:b w:val="0"/>
        <w:i w:val="0"/>
        <w:color w:val="000000"/>
        <w:sz w:val="24"/>
        <w:u w:val="none"/>
      </w:rPr>
    </w:lvl>
    <w:lvl w:ilvl="2">
      <w:start w:val="1"/>
      <w:numFmt w:val="lowerRoman"/>
      <w:pStyle w:val="Heading3"/>
      <w:lvlText w:val="(%3)"/>
      <w:lvlJc w:val="left"/>
      <w:pPr>
        <w:ind w:left="2880" w:hanging="720"/>
      </w:pPr>
      <w:rPr>
        <w:rFonts w:ascii="Times New Roman" w:hAnsi="Times New Roman" w:cs="Times New Roman"/>
        <w:b w:val="0"/>
        <w:i w:val="0"/>
        <w:color w:val="000000"/>
        <w:sz w:val="24"/>
        <w:u w:val="none"/>
      </w:rPr>
    </w:lvl>
    <w:lvl w:ilvl="3">
      <w:start w:val="1"/>
      <w:numFmt w:val="upperLetter"/>
      <w:pStyle w:val="Heading4"/>
      <w:lvlText w:val="(%4)"/>
      <w:lvlJc w:val="left"/>
      <w:pPr>
        <w:ind w:left="0" w:firstLine="2880"/>
      </w:pPr>
      <w:rPr>
        <w:rFonts w:ascii="Times New Roman" w:hAnsi="Times New Roman" w:cs="Times New Roman"/>
        <w:b w:val="0"/>
        <w:i w:val="0"/>
        <w:color w:val="010000"/>
        <w:sz w:val="24"/>
        <w:u w:val="none"/>
      </w:rPr>
    </w:lvl>
    <w:lvl w:ilvl="4">
      <w:start w:val="1"/>
      <w:numFmt w:val="decimal"/>
      <w:pStyle w:val="Heading5"/>
      <w:lvlText w:val="(%5)"/>
      <w:lvlJc w:val="left"/>
      <w:pPr>
        <w:ind w:left="0" w:firstLine="3600"/>
      </w:pPr>
      <w:rPr>
        <w:rFonts w:ascii="Times New Roman" w:hAnsi="Times New Roman" w:cs="Times New Roman"/>
        <w:b w:val="0"/>
        <w:i w:val="0"/>
        <w:color w:val="010000"/>
        <w:sz w:val="24"/>
        <w:u w:val="none"/>
      </w:rPr>
    </w:lvl>
    <w:lvl w:ilvl="5">
      <w:start w:val="1"/>
      <w:numFmt w:val="lowerLetter"/>
      <w:pStyle w:val="Heading6"/>
      <w:lvlText w:val="%6."/>
      <w:lvlJc w:val="left"/>
      <w:pPr>
        <w:ind w:left="0" w:firstLine="4320"/>
      </w:pPr>
      <w:rPr>
        <w:rFonts w:ascii="Times New Roman" w:hAnsi="Times New Roman" w:cs="Times New Roman"/>
        <w:b w:val="0"/>
        <w:i w:val="0"/>
        <w:color w:val="010000"/>
        <w:sz w:val="24"/>
        <w:u w:val="none"/>
      </w:rPr>
    </w:lvl>
    <w:lvl w:ilvl="6">
      <w:start w:val="1"/>
      <w:numFmt w:val="lowerRoman"/>
      <w:pStyle w:val="Heading7"/>
      <w:lvlText w:val="%7."/>
      <w:lvlJc w:val="left"/>
      <w:pPr>
        <w:ind w:left="0" w:firstLine="5040"/>
      </w:pPr>
      <w:rPr>
        <w:rFonts w:ascii="Times New Roman" w:hAnsi="Times New Roman" w:cs="Times New Roman"/>
        <w:b w:val="0"/>
        <w:i w:val="0"/>
        <w:color w:val="010000"/>
        <w:sz w:val="24"/>
        <w:u w:val="none"/>
      </w:rPr>
    </w:lvl>
    <w:lvl w:ilvl="7">
      <w:start w:val="1"/>
      <w:numFmt w:val="upperLetter"/>
      <w:pStyle w:val="Heading8"/>
      <w:lvlText w:val="%8."/>
      <w:lvlJc w:val="left"/>
      <w:pPr>
        <w:ind w:left="0" w:firstLine="5760"/>
      </w:pPr>
      <w:rPr>
        <w:rFonts w:ascii="Times New Roman" w:hAnsi="Times New Roman" w:cs="Times New Roman"/>
        <w:b w:val="0"/>
        <w:i w:val="0"/>
        <w:color w:val="010000"/>
        <w:sz w:val="24"/>
        <w:u w:val="none"/>
      </w:rPr>
    </w:lvl>
    <w:lvl w:ilvl="8">
      <w:start w:val="1"/>
      <w:numFmt w:val="decimal"/>
      <w:pStyle w:val="Heading9"/>
      <w:lvlText w:val="%9."/>
      <w:lvlJc w:val="left"/>
      <w:pPr>
        <w:ind w:left="0" w:firstLine="720"/>
      </w:pPr>
      <w:rPr>
        <w:rFonts w:ascii="Times New Roman" w:hAnsi="Times New Roman" w:cs="Times New Roman"/>
        <w:b w:val="0"/>
        <w:i w:val="0"/>
        <w:color w:val="010000"/>
        <w:sz w:val="24"/>
        <w:u w:val="none"/>
      </w:rPr>
    </w:lvl>
  </w:abstractNum>
  <w:abstractNum w:abstractNumId="11" w15:restartNumberingAfterBreak="0">
    <w:nsid w:val="02B6406B"/>
    <w:multiLevelType w:val="multilevel"/>
    <w:tmpl w:val="DD46800A"/>
    <w:lvl w:ilvl="0">
      <w:start w:val="1"/>
      <w:numFmt w:val="decimal"/>
      <w:lvlText w:val="%1."/>
      <w:lvlJc w:val="left"/>
      <w:pPr>
        <w:ind w:left="144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4A4B33"/>
    <w:multiLevelType w:val="multilevel"/>
    <w:tmpl w:val="D054CE84"/>
    <w:lvl w:ilvl="0">
      <w:start w:val="1"/>
      <w:numFmt w:val="decimal"/>
      <w:lvlText w:val="%1."/>
      <w:lvlJc w:val="left"/>
      <w:pPr>
        <w:ind w:left="2880" w:hanging="720"/>
      </w:pPr>
    </w:lvl>
    <w:lvl w:ilvl="1">
      <w:start w:val="1"/>
      <w:numFmt w:val="decimal"/>
      <w:lvlText w:val="%2."/>
      <w:lvlJc w:val="left"/>
      <w:pPr>
        <w:ind w:left="4320" w:hanging="1440"/>
      </w:pPr>
    </w:lvl>
    <w:lvl w:ilvl="2">
      <w:start w:val="1"/>
      <w:numFmt w:val="decimal"/>
      <w:lvlText w:val="%3."/>
      <w:lvlJc w:val="left"/>
      <w:pPr>
        <w:ind w:left="5760" w:hanging="2160"/>
      </w:p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13" w15:restartNumberingAfterBreak="0">
    <w:nsid w:val="40CA4EF2"/>
    <w:multiLevelType w:val="multilevel"/>
    <w:tmpl w:val="C93817D4"/>
    <w:lvl w:ilvl="0">
      <w:start w:val="1"/>
      <w:numFmt w:val="decimal"/>
      <w:lvlText w:val="%1."/>
      <w:lvlJc w:val="left"/>
      <w:pPr>
        <w:ind w:left="2160" w:hanging="720"/>
      </w:pPr>
    </w:lvl>
    <w:lvl w:ilvl="1">
      <w:start w:val="1"/>
      <w:numFmt w:val="decimal"/>
      <w:lvlText w:val="%2."/>
      <w:lvlJc w:val="left"/>
      <w:pPr>
        <w:ind w:left="3600" w:hanging="144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4" w15:restartNumberingAfterBreak="0">
    <w:nsid w:val="43AD736D"/>
    <w:multiLevelType w:val="multilevel"/>
    <w:tmpl w:val="067895F4"/>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ind w:left="10080" w:hanging="504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2F0799"/>
    <w:multiLevelType w:val="multilevel"/>
    <w:tmpl w:val="E458B1D2"/>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1A1823"/>
    <w:multiLevelType w:val="multilevel"/>
    <w:tmpl w:val="1EE22826"/>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ind w:left="10080" w:hanging="5040"/>
      </w:pPr>
    </w:lvl>
    <w:lvl w:ilvl="7">
      <w:start w:val="1"/>
      <w:numFmt w:val="decimal"/>
      <w:lvlText w:val="%8."/>
      <w:lvlJc w:val="left"/>
      <w:pPr>
        <w:ind w:left="11520" w:hanging="5760"/>
      </w:pPr>
    </w:lvl>
    <w:lvl w:ilvl="8">
      <w:start w:val="1"/>
      <w:numFmt w:val="decimal"/>
      <w:lvlText w:val="%9."/>
      <w:lvlJc w:val="left"/>
      <w:pPr>
        <w:ind w:left="12960" w:hanging="6480"/>
      </w:pPr>
    </w:lvl>
  </w:abstractNum>
  <w:abstractNum w:abstractNumId="17" w15:restartNumberingAfterBreak="0">
    <w:nsid w:val="5E511EBC"/>
    <w:multiLevelType w:val="multilevel"/>
    <w:tmpl w:val="95820204"/>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47102A"/>
    <w:multiLevelType w:val="multilevel"/>
    <w:tmpl w:val="B8E4A87C"/>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ind w:left="10080" w:hanging="5040"/>
      </w:pPr>
    </w:lvl>
    <w:lvl w:ilvl="7">
      <w:start w:val="1"/>
      <w:numFmt w:val="decimal"/>
      <w:lvlText w:val="%8."/>
      <w:lvlJc w:val="left"/>
      <w:pPr>
        <w:ind w:left="11520" w:hanging="5760"/>
      </w:pPr>
    </w:lvl>
    <w:lvl w:ilvl="8">
      <w:start w:val="1"/>
      <w:numFmt w:val="lowerRoman"/>
      <w:lvlText w:val="%9."/>
      <w:lvlJc w:val="left"/>
      <w:pPr>
        <w:tabs>
          <w:tab w:val="num" w:pos="3240"/>
        </w:tabs>
        <w:ind w:left="3240" w:hanging="360"/>
      </w:pPr>
    </w:lvl>
  </w:abstractNum>
  <w:abstractNum w:abstractNumId="19" w15:restartNumberingAfterBreak="0">
    <w:nsid w:val="7B1E0997"/>
    <w:multiLevelType w:val="multilevel"/>
    <w:tmpl w:val="87AAF56A"/>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13"/>
  </w:num>
  <w:num w:numId="4">
    <w:abstractNumId w:val="12"/>
  </w:num>
  <w:num w:numId="5">
    <w:abstractNumId w:val="17"/>
  </w:num>
  <w:num w:numId="6">
    <w:abstractNumId w:val="19"/>
  </w:num>
  <w:num w:numId="7">
    <w:abstractNumId w:val="15"/>
  </w:num>
  <w:num w:numId="8">
    <w:abstractNumId w:val="14"/>
  </w:num>
  <w:num w:numId="9">
    <w:abstractNumId w:val="18"/>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8"/>
  </w:num>
  <w:num w:numId="22">
    <w:abstractNumId w:val="3"/>
  </w:num>
  <w:num w:numId="23">
    <w:abstractNumId w:val="8"/>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Pr>
  <w:compat>
    <w:wpJustification/>
    <w:noExtraLineSpacing/>
    <w:suppressBottomSpacing/>
    <w:suppressSpBfAfterPgBrk/>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Set" w:val="1"/>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docId w15:val="{19BC03C2-D05D-419B-98A8-1C6DAB0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Cs w:val="24"/>
    </w:rPr>
  </w:style>
  <w:style w:type="paragraph" w:styleId="Heading1">
    <w:name w:val="heading 1"/>
    <w:basedOn w:val="Normal"/>
    <w:next w:val="Para1"/>
    <w:qFormat/>
    <w:pPr>
      <w:numPr>
        <w:numId w:val="1"/>
      </w:numPr>
      <w:spacing w:after="240"/>
      <w:jc w:val="left"/>
      <w:outlineLvl w:val="0"/>
    </w:pPr>
    <w:rPr>
      <w:bCs/>
      <w:color w:val="000000"/>
      <w:kern w:val="32"/>
      <w:szCs w:val="32"/>
      <w:u w:val="single"/>
    </w:rPr>
  </w:style>
  <w:style w:type="paragraph" w:styleId="Heading2">
    <w:name w:val="heading 2"/>
    <w:basedOn w:val="Normal"/>
    <w:next w:val="Para2"/>
    <w:qFormat/>
    <w:pPr>
      <w:numPr>
        <w:ilvl w:val="1"/>
        <w:numId w:val="1"/>
      </w:numPr>
      <w:spacing w:after="240"/>
      <w:jc w:val="left"/>
      <w:outlineLvl w:val="1"/>
    </w:pPr>
    <w:rPr>
      <w:bCs/>
      <w:iCs/>
      <w:color w:val="000000"/>
      <w:szCs w:val="28"/>
      <w:u w:val="single"/>
    </w:rPr>
  </w:style>
  <w:style w:type="paragraph" w:styleId="Heading3">
    <w:name w:val="heading 3"/>
    <w:basedOn w:val="Normal"/>
    <w:next w:val="Para3"/>
    <w:qFormat/>
    <w:pPr>
      <w:numPr>
        <w:ilvl w:val="2"/>
        <w:numId w:val="1"/>
      </w:numPr>
      <w:spacing w:after="240"/>
      <w:jc w:val="left"/>
      <w:outlineLvl w:val="2"/>
    </w:pPr>
    <w:rPr>
      <w:bCs/>
      <w:color w:val="000000"/>
      <w:szCs w:val="26"/>
      <w:u w:val="single"/>
    </w:rPr>
  </w:style>
  <w:style w:type="paragraph" w:styleId="Heading4">
    <w:name w:val="heading 4"/>
    <w:basedOn w:val="Normal"/>
    <w:next w:val="Para4"/>
    <w:qFormat/>
    <w:pPr>
      <w:numPr>
        <w:ilvl w:val="3"/>
        <w:numId w:val="1"/>
      </w:numPr>
      <w:spacing w:after="240"/>
      <w:jc w:val="left"/>
      <w:outlineLvl w:val="3"/>
    </w:pPr>
    <w:rPr>
      <w:bCs/>
      <w:color w:val="010000"/>
      <w:szCs w:val="28"/>
    </w:rPr>
  </w:style>
  <w:style w:type="paragraph" w:styleId="Heading5">
    <w:name w:val="heading 5"/>
    <w:basedOn w:val="Normal"/>
    <w:next w:val="Para5"/>
    <w:qFormat/>
    <w:pPr>
      <w:numPr>
        <w:ilvl w:val="4"/>
        <w:numId w:val="1"/>
      </w:numPr>
      <w:spacing w:after="240"/>
      <w:jc w:val="left"/>
      <w:outlineLvl w:val="4"/>
    </w:pPr>
    <w:rPr>
      <w:bCs/>
      <w:iCs/>
      <w:color w:val="010000"/>
      <w:szCs w:val="26"/>
    </w:rPr>
  </w:style>
  <w:style w:type="paragraph" w:styleId="Heading6">
    <w:name w:val="heading 6"/>
    <w:basedOn w:val="Normal"/>
    <w:next w:val="Para6"/>
    <w:qFormat/>
    <w:pPr>
      <w:numPr>
        <w:ilvl w:val="5"/>
        <w:numId w:val="1"/>
      </w:numPr>
      <w:spacing w:after="240"/>
      <w:jc w:val="left"/>
      <w:outlineLvl w:val="5"/>
    </w:pPr>
    <w:rPr>
      <w:bCs/>
      <w:color w:val="010000"/>
      <w:szCs w:val="22"/>
    </w:rPr>
  </w:style>
  <w:style w:type="paragraph" w:styleId="Heading7">
    <w:name w:val="heading 7"/>
    <w:basedOn w:val="Normal"/>
    <w:next w:val="Para7"/>
    <w:link w:val="Heading7Char"/>
    <w:qFormat/>
    <w:pPr>
      <w:numPr>
        <w:ilvl w:val="6"/>
        <w:numId w:val="1"/>
      </w:numPr>
      <w:spacing w:after="240"/>
      <w:jc w:val="left"/>
      <w:outlineLvl w:val="6"/>
    </w:pPr>
    <w:rPr>
      <w:color w:val="010000"/>
    </w:rPr>
  </w:style>
  <w:style w:type="paragraph" w:styleId="Heading8">
    <w:name w:val="heading 8"/>
    <w:basedOn w:val="Normal"/>
    <w:next w:val="Para8"/>
    <w:link w:val="Heading8Char"/>
    <w:qFormat/>
    <w:pPr>
      <w:numPr>
        <w:ilvl w:val="7"/>
        <w:numId w:val="1"/>
      </w:numPr>
      <w:spacing w:after="240"/>
      <w:jc w:val="left"/>
      <w:outlineLvl w:val="7"/>
    </w:pPr>
    <w:rPr>
      <w:iCs/>
      <w:color w:val="010000"/>
    </w:rPr>
  </w:style>
  <w:style w:type="paragraph" w:styleId="Heading9">
    <w:name w:val="heading 9"/>
    <w:basedOn w:val="Normal"/>
    <w:next w:val="Para9"/>
    <w:qFormat/>
    <w:pPr>
      <w:numPr>
        <w:ilvl w:val="8"/>
        <w:numId w:val="1"/>
      </w:numPr>
      <w:spacing w:after="240"/>
      <w:jc w:val="left"/>
      <w:outlineLvl w:val="8"/>
    </w:pPr>
    <w:rPr>
      <w:color w:val="01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jc w:val="left"/>
    </w:pPr>
    <w:rPr>
      <w:rFonts w:cs="Arial"/>
      <w:spacing w:val="-3"/>
      <w:sz w:val="18"/>
    </w:rPr>
  </w:style>
  <w:style w:type="paragraph" w:styleId="Title">
    <w:name w:val="Title"/>
    <w:basedOn w:val="Normal"/>
    <w:next w:val="BodyText"/>
    <w:qFormat/>
    <w:pPr>
      <w:spacing w:after="480"/>
      <w:jc w:val="center"/>
    </w:pPr>
    <w:rPr>
      <w:rFonts w:cs="Arial"/>
      <w:b/>
      <w:bCs/>
      <w:szCs w:val="32"/>
    </w:rPr>
  </w:style>
  <w:style w:type="paragraph" w:customStyle="1" w:styleId="TableofContents">
    <w:name w:val="Table of Contents"/>
    <w:basedOn w:val="Normal"/>
    <w:pPr>
      <w:spacing w:after="360"/>
      <w:jc w:val="center"/>
    </w:pPr>
    <w:rPr>
      <w:b/>
      <w:sz w:val="28"/>
    </w:rPr>
  </w:style>
  <w:style w:type="paragraph" w:customStyle="1" w:styleId="TitlePage">
    <w:name w:val="Title Page"/>
    <w:basedOn w:val="Normal"/>
    <w:pPr>
      <w:jc w:val="center"/>
    </w:pPr>
    <w:rPr>
      <w:b/>
      <w:sz w:val="40"/>
    </w:rPr>
  </w:style>
  <w:style w:type="paragraph" w:styleId="TOC1">
    <w:name w:val="toc 1"/>
    <w:basedOn w:val="Normal"/>
    <w:next w:val="Normal"/>
    <w:semiHidden/>
    <w:pPr>
      <w:ind w:left="720" w:hanging="720"/>
    </w:pPr>
  </w:style>
  <w:style w:type="paragraph" w:styleId="TOC2">
    <w:name w:val="toc 2"/>
    <w:basedOn w:val="Normal"/>
    <w:next w:val="Normal"/>
    <w:semiHidden/>
    <w:pPr>
      <w:ind w:left="1440" w:hanging="720"/>
    </w:pPr>
  </w:style>
  <w:style w:type="paragraph" w:styleId="TOC3">
    <w:name w:val="toc 3"/>
    <w:basedOn w:val="Normal"/>
    <w:next w:val="Normal"/>
    <w:semiHidden/>
    <w:pPr>
      <w:ind w:left="2160" w:hanging="720"/>
    </w:pPr>
  </w:style>
  <w:style w:type="paragraph" w:styleId="TOC4">
    <w:name w:val="toc 4"/>
    <w:basedOn w:val="Normal"/>
    <w:next w:val="Normal"/>
    <w:semiHidden/>
    <w:pPr>
      <w:ind w:left="2880" w:hanging="720"/>
    </w:pPr>
  </w:style>
  <w:style w:type="paragraph" w:styleId="TOC5">
    <w:name w:val="toc 5"/>
    <w:basedOn w:val="Normal"/>
    <w:next w:val="Normal"/>
    <w:autoRedefine/>
    <w:semiHidden/>
    <w:pPr>
      <w:ind w:left="960"/>
    </w:pPr>
  </w:style>
  <w:style w:type="paragraph" w:styleId="Header">
    <w:name w:val="header"/>
    <w:basedOn w:val="Normal"/>
    <w:pPr>
      <w:tabs>
        <w:tab w:val="center" w:pos="4680"/>
        <w:tab w:val="right" w:pos="9360"/>
      </w:tabs>
      <w:jc w:val="left"/>
    </w:pPr>
  </w:style>
  <w:style w:type="paragraph" w:styleId="Footer">
    <w:name w:val="footer"/>
    <w:basedOn w:val="Normal"/>
    <w:pPr>
      <w:tabs>
        <w:tab w:val="center" w:pos="4680"/>
        <w:tab w:val="right" w:pos="9360"/>
      </w:tabs>
      <w:jc w:val="left"/>
    </w:pPr>
  </w:style>
  <w:style w:type="paragraph" w:styleId="ListNumber">
    <w:name w:val="List Number"/>
    <w:basedOn w:val="Normal"/>
    <w:pPr>
      <w:numPr>
        <w:numId w:val="25"/>
      </w:numPr>
      <w:spacing w:after="60"/>
      <w:ind w:left="720" w:hanging="720"/>
      <w:jc w:val="left"/>
    </w:pPr>
    <w:rPr>
      <w:rFonts w:cs="Arial"/>
      <w:color w:val="010000"/>
      <w:sz w:val="18"/>
    </w:rPr>
  </w:style>
  <w:style w:type="paragraph" w:customStyle="1" w:styleId="DOCID">
    <w:name w:val="DOC ID"/>
    <w:basedOn w:val="Normal"/>
    <w:pPr>
      <w:widowControl w:val="0"/>
      <w:spacing w:line="160" w:lineRule="exact"/>
      <w:jc w:val="left"/>
    </w:pPr>
    <w:rPr>
      <w:rFonts w:ascii="Arial Narrow" w:hAnsi="Arial Narrow"/>
      <w:noProof/>
      <w:color w:val="000000"/>
      <w:sz w:val="16"/>
      <w:szCs w:val="20"/>
    </w:rPr>
  </w:style>
  <w:style w:type="paragraph" w:customStyle="1" w:styleId="Para1">
    <w:name w:val="Para1"/>
    <w:basedOn w:val="Normal"/>
    <w:pPr>
      <w:spacing w:after="240"/>
      <w:ind w:firstLine="1440"/>
      <w:jc w:val="left"/>
    </w:pPr>
  </w:style>
  <w:style w:type="paragraph" w:customStyle="1" w:styleId="Para2">
    <w:name w:val="Para2"/>
    <w:basedOn w:val="Normal"/>
    <w:pPr>
      <w:spacing w:after="240"/>
      <w:ind w:firstLine="2160"/>
      <w:jc w:val="left"/>
    </w:pPr>
  </w:style>
  <w:style w:type="paragraph" w:customStyle="1" w:styleId="Para3">
    <w:name w:val="Para3"/>
    <w:basedOn w:val="Normal"/>
    <w:pPr>
      <w:spacing w:after="240"/>
      <w:ind w:firstLine="2880"/>
      <w:jc w:val="left"/>
    </w:pPr>
  </w:style>
  <w:style w:type="paragraph" w:customStyle="1" w:styleId="Para4">
    <w:name w:val="Para4"/>
    <w:basedOn w:val="Normal"/>
    <w:pPr>
      <w:spacing w:after="240"/>
      <w:ind w:firstLine="3600"/>
      <w:jc w:val="left"/>
    </w:pPr>
  </w:style>
  <w:style w:type="paragraph" w:customStyle="1" w:styleId="Para5">
    <w:name w:val="Para5"/>
    <w:basedOn w:val="Normal"/>
    <w:pPr>
      <w:spacing w:after="240"/>
      <w:ind w:firstLine="4320"/>
      <w:jc w:val="left"/>
    </w:pPr>
  </w:style>
  <w:style w:type="paragraph" w:customStyle="1" w:styleId="Para6">
    <w:name w:val="Para6"/>
    <w:basedOn w:val="Normal"/>
    <w:pPr>
      <w:spacing w:after="240"/>
      <w:ind w:firstLine="5040"/>
      <w:jc w:val="left"/>
    </w:pPr>
  </w:style>
  <w:style w:type="paragraph" w:customStyle="1" w:styleId="Para7">
    <w:name w:val="Para7"/>
    <w:basedOn w:val="Normal"/>
    <w:pPr>
      <w:spacing w:after="240"/>
      <w:ind w:firstLine="5760"/>
      <w:jc w:val="left"/>
    </w:pPr>
  </w:style>
  <w:style w:type="paragraph" w:customStyle="1" w:styleId="Para8">
    <w:name w:val="Para8"/>
    <w:basedOn w:val="Normal"/>
    <w:pPr>
      <w:spacing w:after="240"/>
      <w:ind w:firstLine="6480"/>
      <w:jc w:val="left"/>
    </w:pPr>
  </w:style>
  <w:style w:type="paragraph" w:customStyle="1" w:styleId="Para9">
    <w:name w:val="Para9"/>
    <w:basedOn w:val="Normal"/>
    <w:pPr>
      <w:spacing w:after="240"/>
      <w:ind w:firstLine="1440"/>
      <w:jc w:val="left"/>
    </w:pPr>
  </w:style>
  <w:style w:type="paragraph" w:customStyle="1" w:styleId="Quotes">
    <w:name w:val="Quotes"/>
    <w:basedOn w:val="Normal"/>
    <w:pPr>
      <w:spacing w:after="240"/>
      <w:ind w:left="1440" w:right="1440"/>
    </w:pPr>
  </w:style>
  <w:style w:type="paragraph" w:styleId="ListNumber2">
    <w:name w:val="List Number 2"/>
    <w:basedOn w:val="Normal"/>
    <w:pPr>
      <w:numPr>
        <w:numId w:val="22"/>
      </w:numPr>
      <w:spacing w:after="240"/>
    </w:pPr>
    <w:rPr>
      <w:color w:val="010000"/>
    </w:rPr>
  </w:style>
  <w:style w:type="paragraph" w:styleId="Signature">
    <w:name w:val="Signature"/>
    <w:basedOn w:val="Normal"/>
    <w:pPr>
      <w:ind w:left="4320"/>
      <w:jc w:val="left"/>
    </w:pPr>
  </w:style>
  <w:style w:type="paragraph" w:customStyle="1" w:styleId="Recitals">
    <w:name w:val="Recitals"/>
    <w:basedOn w:val="Normal"/>
    <w:next w:val="ListNumber"/>
    <w:pPr>
      <w:spacing w:before="60" w:after="240"/>
      <w:jc w:val="center"/>
      <w:outlineLvl w:val="0"/>
    </w:pPr>
    <w:rPr>
      <w:b/>
    </w:rPr>
  </w:style>
  <w:style w:type="paragraph" w:styleId="FootnoteText">
    <w:name w:val="footnote text"/>
    <w:basedOn w:val="Normal"/>
    <w:semiHidden/>
    <w:pPr>
      <w:jc w:val="left"/>
    </w:pPr>
    <w:rPr>
      <w:rFonts w:cs="Arial"/>
      <w:sz w:val="18"/>
      <w:szCs w:val="18"/>
    </w:rPr>
  </w:style>
  <w:style w:type="character" w:styleId="FootnoteReference">
    <w:name w:val="footnote reference"/>
    <w:semiHidden/>
    <w:rPr>
      <w:vertAlign w:val="superscript"/>
    </w:rPr>
  </w:style>
  <w:style w:type="paragraph" w:customStyle="1" w:styleId="BodyTextNoIndent">
    <w:name w:val="Body Text No Indent"/>
    <w:basedOn w:val="BodyText"/>
    <w:pPr>
      <w:widowControl/>
      <w:spacing w:after="180"/>
      <w:ind w:firstLine="0"/>
    </w:pPr>
  </w:style>
  <w:style w:type="paragraph" w:customStyle="1" w:styleId="Center">
    <w:name w:val="Center"/>
    <w:basedOn w:val="Normal"/>
    <w:pPr>
      <w:spacing w:after="240"/>
      <w:jc w:val="center"/>
    </w:pPr>
  </w:style>
  <w:style w:type="paragraph" w:customStyle="1" w:styleId="Head1">
    <w:name w:val="Head1"/>
    <w:basedOn w:val="BodyTextNoIndent"/>
    <w:pPr>
      <w:keepNext/>
    </w:pPr>
    <w:rPr>
      <w:b/>
      <w:bCs/>
      <w:sz w:val="24"/>
      <w:u w:val="single"/>
    </w:rPr>
  </w:style>
  <w:style w:type="paragraph" w:customStyle="1" w:styleId="Head2">
    <w:name w:val="Head2"/>
    <w:basedOn w:val="Head1"/>
    <w:pPr>
      <w:spacing w:after="0"/>
    </w:pPr>
    <w:rPr>
      <w:sz w:val="20"/>
    </w:rPr>
  </w:style>
  <w:style w:type="character" w:customStyle="1" w:styleId="Heading7Char">
    <w:name w:val="Heading 7 Char"/>
    <w:link w:val="Heading7"/>
    <w:rPr>
      <w:rFonts w:ascii="Arial" w:hAnsi="Arial"/>
      <w:color w:val="010000"/>
      <w:szCs w:val="24"/>
      <w:lang w:val="en-US" w:eastAsia="en-US" w:bidi="ar-SA"/>
    </w:rPr>
  </w:style>
  <w:style w:type="paragraph" w:customStyle="1" w:styleId="Head3">
    <w:name w:val="Head3"/>
    <w:basedOn w:val="Head2"/>
  </w:style>
  <w:style w:type="paragraph" w:customStyle="1" w:styleId="Head4">
    <w:name w:val="Head4"/>
    <w:basedOn w:val="Head3"/>
    <w:pPr>
      <w:spacing w:after="240"/>
    </w:pPr>
    <w:rPr>
      <w:u w:val="none"/>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Pr>
      <w:rFonts w:ascii="Arial" w:hAnsi="Arial"/>
      <w:iCs/>
      <w:color w:val="010000"/>
      <w:szCs w:val="24"/>
      <w:lang w:val="en-US" w:eastAsia="en-US" w:bidi="ar-SA"/>
    </w:rPr>
  </w:style>
  <w:style w:type="paragraph" w:customStyle="1" w:styleId="Indent1">
    <w:name w:val="Indent1"/>
    <w:basedOn w:val="BodyTextNoIndent"/>
    <w:pPr>
      <w:tabs>
        <w:tab w:val="left" w:pos="2340"/>
      </w:tabs>
    </w:pPr>
  </w:style>
  <w:style w:type="paragraph" w:styleId="ListBullet">
    <w:name w:val="List Bullet"/>
    <w:basedOn w:val="Normal"/>
    <w:pPr>
      <w:numPr>
        <w:numId w:val="11"/>
      </w:numPr>
      <w:jc w:val="left"/>
    </w:pPr>
    <w:rPr>
      <w:sz w:val="18"/>
      <w:szCs w:val="18"/>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ppkickers\Templates\Correspondence+Plus\Basic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BasicDoc.dotm</Template>
  <TotalTime>5</TotalTime>
  <Pages>7</Pages>
  <Words>4501</Words>
  <Characters>23603</Characters>
  <Application>Microsoft Office Word</Application>
  <DocSecurity>0</DocSecurity>
  <Lines>366</Lines>
  <Paragraphs>155</Paragraphs>
  <ScaleCrop>false</ScaleCrop>
  <HeadingPairs>
    <vt:vector size="2" baseType="variant">
      <vt:variant>
        <vt:lpstr>Title</vt:lpstr>
      </vt:variant>
      <vt:variant>
        <vt:i4>1</vt:i4>
      </vt:variant>
    </vt:vector>
  </HeadingPairs>
  <TitlesOfParts>
    <vt:vector size="1" baseType="lpstr">
      <vt:lpstr>Agreement</vt:lpstr>
    </vt:vector>
  </TitlesOfParts>
  <Company>Pagrovia Technology</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S Casad</dc:creator>
  <cp:keywords>JED\25608034</cp:keywords>
  <dc:description>4810-4895-9649v1</dc:description>
  <cp:lastModifiedBy>S Casad</cp:lastModifiedBy>
  <cp:revision>3</cp:revision>
  <cp:lastPrinted>2019-08-19T17:56:00Z</cp:lastPrinted>
  <dcterms:created xsi:type="dcterms:W3CDTF">2019-08-19T17:51:00Z</dcterms:created>
  <dcterms:modified xsi:type="dcterms:W3CDTF">2019-08-19T17:56:00Z</dcterms:modified>
  <cp:category>Agreement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Shrink">
    <vt:lpwstr>No</vt:lpwstr>
  </property>
  <property fmtid="{D5CDD505-2E9C-101B-9397-08002B2CF9AE}" pid="3" name="Project">
    <vt:lpwstr>cc</vt:lpwstr>
  </property>
</Properties>
</file>