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03E2E" w:rsidRPr="008D50B3" w:rsidRDefault="00503E2E" w:rsidP="00503E2E">
      <w:pPr>
        <w:pStyle w:val="Heading1"/>
        <w:spacing w:after="120"/>
        <w:rPr>
          <w:rStyle w:val="Heading2Char"/>
          <w:rFonts w:ascii="Times New Roman" w:hAnsi="Times New Roman" w:cs="Times New Roman"/>
        </w:rPr>
      </w:pPr>
      <w:r w:rsidRPr="008D50B3">
        <w:rPr>
          <w:rFonts w:ascii="Times New Roman" w:hAnsi="Times New Roman" w:cs="Times New Roman"/>
        </w:rPr>
        <w:t>San José State University</w:t>
      </w:r>
      <w:r w:rsidRPr="008D50B3">
        <w:rPr>
          <w:rFonts w:ascii="Times New Roman" w:hAnsi="Times New Roman" w:cs="Times New Roman"/>
        </w:rPr>
        <w:br/>
      </w:r>
      <w:r w:rsidRPr="008D50B3">
        <w:rPr>
          <w:rFonts w:ascii="Times New Roman" w:hAnsi="Times New Roman" w:cs="Times New Roman"/>
        </w:rPr>
        <w:br/>
      </w:r>
      <w:r w:rsidR="00346418" w:rsidRPr="008D50B3">
        <w:rPr>
          <w:rStyle w:val="Heading2Char"/>
          <w:rFonts w:ascii="Times New Roman" w:hAnsi="Times New Roman" w:cs="Times New Roman"/>
        </w:rPr>
        <w:t>Lucas Graduate School</w:t>
      </w:r>
      <w:r w:rsidR="00346418" w:rsidRPr="008D50B3">
        <w:rPr>
          <w:rStyle w:val="Heading2Char"/>
          <w:rFonts w:ascii="Times New Roman" w:hAnsi="Times New Roman" w:cs="Times New Roman"/>
        </w:rPr>
        <w:br/>
        <w:t>BUS 225W</w:t>
      </w:r>
      <w:r w:rsidR="00346418" w:rsidRPr="008D50B3">
        <w:rPr>
          <w:rStyle w:val="Heading2Char"/>
          <w:rFonts w:ascii="Times New Roman" w:hAnsi="Times New Roman" w:cs="Times New Roman"/>
        </w:rPr>
        <w:br/>
        <w:t xml:space="preserve">Introduction to </w:t>
      </w:r>
      <w:r w:rsidR="00BA3B11">
        <w:rPr>
          <w:rStyle w:val="Heading2Char"/>
          <w:rFonts w:ascii="Times New Roman" w:hAnsi="Times New Roman" w:cs="Times New Roman"/>
        </w:rPr>
        <w:t>International Taxation</w:t>
      </w:r>
      <w:r w:rsidR="00BA3B11">
        <w:rPr>
          <w:rStyle w:val="Heading2Char"/>
          <w:rFonts w:ascii="Times New Roman" w:hAnsi="Times New Roman" w:cs="Times New Roman"/>
        </w:rPr>
        <w:br/>
        <w:t>Fall 2015</w:t>
      </w: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168"/>
        <w:gridCol w:w="6480"/>
      </w:tblGrid>
      <w:tr w:rsidR="00503E2E" w:rsidRPr="008D50B3" w:rsidTr="00E42C9A">
        <w:tc>
          <w:tcPr>
            <w:tcW w:w="3168" w:type="dxa"/>
            <w:shd w:val="clear" w:color="auto" w:fill="auto"/>
          </w:tcPr>
          <w:p w:rsidR="00503E2E" w:rsidRPr="008D50B3" w:rsidRDefault="00503E2E" w:rsidP="00E42C9A">
            <w:pPr>
              <w:pStyle w:val="contactheading"/>
              <w:spacing w:before="0"/>
              <w:rPr>
                <w:rFonts w:cs="Times New Roman"/>
              </w:rPr>
            </w:pPr>
            <w:r w:rsidRPr="008D50B3">
              <w:rPr>
                <w:rFonts w:cs="Times New Roman"/>
              </w:rPr>
              <w:t>Instructor:</w:t>
            </w:r>
            <w:r w:rsidR="00346418" w:rsidRPr="008D50B3">
              <w:rPr>
                <w:rFonts w:cs="Times New Roman"/>
              </w:rPr>
              <w:t xml:space="preserve"> </w:t>
            </w:r>
          </w:p>
        </w:tc>
        <w:tc>
          <w:tcPr>
            <w:tcW w:w="6480" w:type="dxa"/>
            <w:shd w:val="clear" w:color="auto" w:fill="auto"/>
          </w:tcPr>
          <w:p w:rsidR="00503E2E" w:rsidRPr="008D50B3" w:rsidRDefault="00346418" w:rsidP="00346418">
            <w:pPr>
              <w:rPr>
                <w:i/>
                <w:iCs/>
              </w:rPr>
            </w:pPr>
            <w:r w:rsidRPr="008D50B3">
              <w:rPr>
                <w:i/>
                <w:iCs/>
              </w:rPr>
              <w:t>William Skinner</w:t>
            </w:r>
          </w:p>
        </w:tc>
      </w:tr>
      <w:tr w:rsidR="00503E2E" w:rsidRPr="008D50B3" w:rsidTr="00E42C9A">
        <w:tc>
          <w:tcPr>
            <w:tcW w:w="3168" w:type="dxa"/>
            <w:shd w:val="clear" w:color="auto" w:fill="auto"/>
          </w:tcPr>
          <w:p w:rsidR="00503E2E" w:rsidRPr="008D50B3" w:rsidRDefault="00503E2E" w:rsidP="00E42C9A">
            <w:pPr>
              <w:pStyle w:val="contactheading"/>
              <w:spacing w:before="0"/>
              <w:rPr>
                <w:rFonts w:cs="Times New Roman"/>
              </w:rPr>
            </w:pPr>
            <w:r w:rsidRPr="008D50B3">
              <w:rPr>
                <w:rFonts w:cs="Times New Roman"/>
              </w:rPr>
              <w:t>Office Location:</w:t>
            </w:r>
            <w:r w:rsidR="00346418" w:rsidRPr="008D50B3">
              <w:rPr>
                <w:rFonts w:cs="Times New Roman"/>
              </w:rPr>
              <w:t xml:space="preserve"> </w:t>
            </w:r>
          </w:p>
        </w:tc>
        <w:tc>
          <w:tcPr>
            <w:tcW w:w="6480" w:type="dxa"/>
            <w:shd w:val="clear" w:color="auto" w:fill="auto"/>
          </w:tcPr>
          <w:p w:rsidR="00503E2E" w:rsidRPr="008D50B3" w:rsidRDefault="00346418" w:rsidP="00346418">
            <w:pPr>
              <w:rPr>
                <w:i/>
                <w:iCs/>
              </w:rPr>
            </w:pPr>
            <w:r w:rsidRPr="008D50B3">
              <w:rPr>
                <w:iCs/>
              </w:rPr>
              <w:t>Lucas School Silicon Valley Site</w:t>
            </w:r>
          </w:p>
        </w:tc>
      </w:tr>
      <w:tr w:rsidR="00503E2E" w:rsidRPr="008D50B3" w:rsidTr="00E42C9A">
        <w:tc>
          <w:tcPr>
            <w:tcW w:w="3168" w:type="dxa"/>
            <w:shd w:val="clear" w:color="auto" w:fill="auto"/>
          </w:tcPr>
          <w:p w:rsidR="00503E2E" w:rsidRPr="008D50B3" w:rsidRDefault="00503E2E" w:rsidP="00E42C9A">
            <w:pPr>
              <w:pStyle w:val="contactheading"/>
              <w:spacing w:before="0"/>
              <w:rPr>
                <w:rFonts w:cs="Times New Roman"/>
              </w:rPr>
            </w:pPr>
            <w:r w:rsidRPr="008D50B3">
              <w:rPr>
                <w:rFonts w:cs="Times New Roman"/>
              </w:rPr>
              <w:t>Telephone:</w:t>
            </w:r>
          </w:p>
        </w:tc>
        <w:tc>
          <w:tcPr>
            <w:tcW w:w="6480" w:type="dxa"/>
            <w:shd w:val="clear" w:color="auto" w:fill="auto"/>
          </w:tcPr>
          <w:p w:rsidR="00503E2E" w:rsidRPr="008D50B3" w:rsidRDefault="00346418" w:rsidP="00346418">
            <w:pPr>
              <w:rPr>
                <w:i/>
                <w:iCs/>
              </w:rPr>
            </w:pPr>
            <w:r w:rsidRPr="008D50B3">
              <w:rPr>
                <w:i/>
                <w:iCs/>
              </w:rPr>
              <w:t>650.335.7669</w:t>
            </w:r>
          </w:p>
        </w:tc>
      </w:tr>
      <w:tr w:rsidR="00503E2E" w:rsidRPr="008D50B3" w:rsidTr="00E42C9A">
        <w:tc>
          <w:tcPr>
            <w:tcW w:w="3168" w:type="dxa"/>
            <w:shd w:val="clear" w:color="auto" w:fill="auto"/>
          </w:tcPr>
          <w:p w:rsidR="00503E2E" w:rsidRPr="008D50B3" w:rsidRDefault="00503E2E" w:rsidP="00E42C9A">
            <w:pPr>
              <w:pStyle w:val="contactheading"/>
              <w:spacing w:before="0"/>
              <w:rPr>
                <w:rFonts w:cs="Times New Roman"/>
              </w:rPr>
            </w:pPr>
            <w:r w:rsidRPr="008D50B3">
              <w:rPr>
                <w:rFonts w:cs="Times New Roman"/>
              </w:rPr>
              <w:t>Email:</w:t>
            </w:r>
          </w:p>
        </w:tc>
        <w:tc>
          <w:tcPr>
            <w:tcW w:w="6480" w:type="dxa"/>
            <w:shd w:val="clear" w:color="auto" w:fill="auto"/>
          </w:tcPr>
          <w:p w:rsidR="00503E2E" w:rsidRPr="008D50B3" w:rsidRDefault="00346418" w:rsidP="00346418">
            <w:pPr>
              <w:rPr>
                <w:i/>
                <w:iCs/>
              </w:rPr>
            </w:pPr>
            <w:hyperlink r:id="rId8" w:history="1">
              <w:r w:rsidRPr="008D50B3">
                <w:rPr>
                  <w:rStyle w:val="Hyperlink"/>
                  <w:i/>
                  <w:iCs/>
                </w:rPr>
                <w:t>wrskinner@fenwick.com</w:t>
              </w:r>
            </w:hyperlink>
          </w:p>
        </w:tc>
      </w:tr>
      <w:tr w:rsidR="00503E2E" w:rsidRPr="008D50B3" w:rsidTr="00E42C9A">
        <w:tc>
          <w:tcPr>
            <w:tcW w:w="3168" w:type="dxa"/>
            <w:shd w:val="clear" w:color="auto" w:fill="auto"/>
          </w:tcPr>
          <w:p w:rsidR="00503E2E" w:rsidRPr="008D50B3" w:rsidRDefault="00503E2E" w:rsidP="00E42C9A">
            <w:pPr>
              <w:pStyle w:val="contactheading"/>
              <w:spacing w:before="0"/>
              <w:rPr>
                <w:rFonts w:cs="Times New Roman"/>
              </w:rPr>
            </w:pPr>
            <w:r w:rsidRPr="008D50B3">
              <w:rPr>
                <w:rFonts w:cs="Times New Roman"/>
              </w:rPr>
              <w:t>Office Hours:</w:t>
            </w:r>
          </w:p>
        </w:tc>
        <w:tc>
          <w:tcPr>
            <w:tcW w:w="6480" w:type="dxa"/>
            <w:shd w:val="clear" w:color="auto" w:fill="auto"/>
          </w:tcPr>
          <w:p w:rsidR="00503E2E" w:rsidRPr="008D50B3" w:rsidRDefault="00346418" w:rsidP="00346418">
            <w:pPr>
              <w:rPr>
                <w:i/>
                <w:iCs/>
              </w:rPr>
            </w:pPr>
            <w:r w:rsidRPr="008D50B3">
              <w:rPr>
                <w:i/>
                <w:iCs/>
              </w:rPr>
              <w:t>20 minutes before and after class + by appointment</w:t>
            </w:r>
          </w:p>
        </w:tc>
      </w:tr>
      <w:tr w:rsidR="00503E2E" w:rsidRPr="008D50B3" w:rsidTr="00E42C9A">
        <w:tc>
          <w:tcPr>
            <w:tcW w:w="3168" w:type="dxa"/>
            <w:shd w:val="clear" w:color="auto" w:fill="auto"/>
          </w:tcPr>
          <w:p w:rsidR="00503E2E" w:rsidRPr="008D50B3" w:rsidRDefault="00503E2E" w:rsidP="00E42C9A">
            <w:pPr>
              <w:pStyle w:val="contactheading"/>
              <w:spacing w:before="0"/>
              <w:rPr>
                <w:rFonts w:cs="Times New Roman"/>
              </w:rPr>
            </w:pPr>
            <w:r w:rsidRPr="008D50B3">
              <w:rPr>
                <w:rFonts w:cs="Times New Roman"/>
              </w:rPr>
              <w:t>Class Days/Time:</w:t>
            </w:r>
          </w:p>
        </w:tc>
        <w:tc>
          <w:tcPr>
            <w:tcW w:w="6480" w:type="dxa"/>
            <w:shd w:val="clear" w:color="auto" w:fill="auto"/>
          </w:tcPr>
          <w:p w:rsidR="00503E2E" w:rsidRPr="008D50B3" w:rsidRDefault="00346418" w:rsidP="00346418">
            <w:pPr>
              <w:rPr>
                <w:i/>
                <w:iCs/>
              </w:rPr>
            </w:pPr>
            <w:r w:rsidRPr="008D50B3">
              <w:rPr>
                <w:i/>
                <w:iCs/>
              </w:rPr>
              <w:t>Mondays    6 pm – 10 pm</w:t>
            </w:r>
            <w:r w:rsidR="006C7958">
              <w:rPr>
                <w:i/>
                <w:iCs/>
              </w:rPr>
              <w:t>, Plus One Saturday 9/26 from 9 am – 1 pm</w:t>
            </w:r>
          </w:p>
          <w:p w:rsidR="000E783E" w:rsidRPr="008D50B3" w:rsidRDefault="000E783E" w:rsidP="00E42C9A">
            <w:pPr>
              <w:pStyle w:val="normalplus"/>
              <w:jc w:val="left"/>
              <w:rPr>
                <w:rFonts w:ascii="Times New Roman" w:hAnsi="Times New Roman"/>
                <w:i/>
                <w:iCs/>
                <w:sz w:val="22"/>
              </w:rPr>
            </w:pPr>
            <w:r w:rsidRPr="008D50B3">
              <w:rPr>
                <w:rFonts w:ascii="Times New Roman" w:hAnsi="Times New Roman"/>
                <w:i/>
                <w:iCs/>
                <w:sz w:val="22"/>
              </w:rPr>
              <w:t xml:space="preserve">Lucas Business Complex </w:t>
            </w:r>
          </w:p>
          <w:p w:rsidR="000E783E" w:rsidRPr="008D50B3" w:rsidRDefault="000E783E" w:rsidP="00E42C9A">
            <w:pPr>
              <w:pStyle w:val="normalplus"/>
              <w:jc w:val="left"/>
              <w:rPr>
                <w:rFonts w:ascii="Times New Roman" w:hAnsi="Times New Roman"/>
                <w:i/>
                <w:iCs/>
                <w:sz w:val="22"/>
              </w:rPr>
            </w:pPr>
            <w:r w:rsidRPr="008D50B3">
              <w:rPr>
                <w:rFonts w:ascii="Times New Roman" w:hAnsi="Times New Roman"/>
                <w:i/>
                <w:iCs/>
                <w:sz w:val="22"/>
              </w:rPr>
              <w:t>2933 Bunker Hill Suite 120</w:t>
            </w:r>
          </w:p>
          <w:p w:rsidR="000E783E" w:rsidRPr="008D50B3" w:rsidRDefault="000E783E" w:rsidP="000E783E">
            <w:pPr>
              <w:rPr>
                <w:i/>
                <w:iCs/>
              </w:rPr>
            </w:pPr>
            <w:r w:rsidRPr="008D50B3">
              <w:rPr>
                <w:i/>
                <w:iCs/>
                <w:sz w:val="22"/>
              </w:rPr>
              <w:t>Santa Clara CA 95054</w:t>
            </w:r>
          </w:p>
        </w:tc>
      </w:tr>
      <w:tr w:rsidR="00503E2E" w:rsidRPr="008D50B3" w:rsidTr="00E42C9A">
        <w:tc>
          <w:tcPr>
            <w:tcW w:w="3168" w:type="dxa"/>
            <w:shd w:val="clear" w:color="auto" w:fill="auto"/>
          </w:tcPr>
          <w:p w:rsidR="00503E2E" w:rsidRPr="008D50B3" w:rsidRDefault="00346418" w:rsidP="00E42C9A">
            <w:pPr>
              <w:pStyle w:val="contactheading"/>
              <w:spacing w:before="0"/>
              <w:rPr>
                <w:rFonts w:cs="Times New Roman"/>
              </w:rPr>
            </w:pPr>
            <w:r w:rsidRPr="008D50B3">
              <w:rPr>
                <w:rFonts w:cs="Times New Roman"/>
              </w:rPr>
              <w:t>Prerequisite</w:t>
            </w:r>
            <w:r w:rsidR="00503E2E" w:rsidRPr="008D50B3">
              <w:rPr>
                <w:rFonts w:cs="Times New Roman"/>
              </w:rPr>
              <w:t>:</w:t>
            </w:r>
          </w:p>
        </w:tc>
        <w:tc>
          <w:tcPr>
            <w:tcW w:w="6480" w:type="dxa"/>
            <w:shd w:val="clear" w:color="auto" w:fill="auto"/>
          </w:tcPr>
          <w:p w:rsidR="00503E2E" w:rsidRPr="008D50B3" w:rsidRDefault="00346418" w:rsidP="00346418">
            <w:pPr>
              <w:rPr>
                <w:i/>
                <w:iCs/>
              </w:rPr>
            </w:pPr>
            <w:r w:rsidRPr="008D50B3">
              <w:rPr>
                <w:i/>
                <w:iCs/>
              </w:rPr>
              <w:t>BUS 223A</w:t>
            </w:r>
          </w:p>
        </w:tc>
      </w:tr>
      <w:tr w:rsidR="00346418" w:rsidRPr="008D50B3" w:rsidTr="00E42C9A">
        <w:tc>
          <w:tcPr>
            <w:tcW w:w="3168" w:type="dxa"/>
            <w:shd w:val="clear" w:color="auto" w:fill="auto"/>
          </w:tcPr>
          <w:p w:rsidR="00346418" w:rsidRPr="008D50B3" w:rsidRDefault="00346418" w:rsidP="00E42C9A">
            <w:pPr>
              <w:pStyle w:val="contactheading"/>
              <w:spacing w:before="0"/>
              <w:rPr>
                <w:rFonts w:cs="Times New Roman"/>
                <w:i/>
                <w:iCs w:val="0"/>
              </w:rPr>
            </w:pPr>
            <w:r w:rsidRPr="008D50B3">
              <w:rPr>
                <w:rFonts w:cs="Times New Roman"/>
                <w:i/>
                <w:iCs w:val="0"/>
              </w:rPr>
              <w:t>Co-requisite:</w:t>
            </w:r>
          </w:p>
        </w:tc>
        <w:tc>
          <w:tcPr>
            <w:tcW w:w="6480" w:type="dxa"/>
            <w:shd w:val="clear" w:color="auto" w:fill="auto"/>
          </w:tcPr>
          <w:p w:rsidR="00346418" w:rsidRPr="008D50B3" w:rsidRDefault="00346418" w:rsidP="00346418">
            <w:pPr>
              <w:rPr>
                <w:i/>
                <w:iCs/>
              </w:rPr>
            </w:pPr>
            <w:r w:rsidRPr="008D50B3">
              <w:rPr>
                <w:i/>
                <w:iCs/>
              </w:rPr>
              <w:t>BUS 223G</w:t>
            </w:r>
          </w:p>
        </w:tc>
      </w:tr>
    </w:tbl>
    <w:p w:rsidR="00503E2E" w:rsidRPr="008D50B3" w:rsidRDefault="00503E2E" w:rsidP="00503E2E">
      <w:pPr>
        <w:pStyle w:val="Heading2"/>
        <w:rPr>
          <w:rFonts w:ascii="Times New Roman" w:hAnsi="Times New Roman" w:cs="Times New Roman"/>
        </w:rPr>
      </w:pPr>
      <w:r w:rsidRPr="008D50B3">
        <w:rPr>
          <w:rFonts w:ascii="Times New Roman" w:hAnsi="Times New Roman" w:cs="Times New Roman"/>
        </w:rPr>
        <w:t xml:space="preserve">Course Description </w:t>
      </w:r>
    </w:p>
    <w:p w:rsidR="00503E2E" w:rsidRPr="008D50B3" w:rsidRDefault="000E783E" w:rsidP="00503E2E">
      <w:r w:rsidRPr="008D50B3">
        <w:t xml:space="preserve">Introduction to the structure, basic rules, and policies of </w:t>
      </w:r>
      <w:r w:rsidR="00C57A6E">
        <w:t xml:space="preserve">U.S. </w:t>
      </w:r>
      <w:r w:rsidRPr="008D50B3">
        <w:t>federal income tax</w:t>
      </w:r>
      <w:r w:rsidR="00C57A6E">
        <w:t xml:space="preserve">ation of foreign persons and cross-border taxation.  </w:t>
      </w:r>
      <w:r w:rsidRPr="008D50B3">
        <w:t>To</w:t>
      </w:r>
      <w:r w:rsidR="00C57A6E">
        <w:t>pics include residency, source of income</w:t>
      </w:r>
      <w:r w:rsidRPr="008D50B3">
        <w:t>,</w:t>
      </w:r>
      <w:r w:rsidR="00C57A6E">
        <w:t xml:space="preserve"> U.S. taxation of foreign persons,</w:t>
      </w:r>
      <w:r w:rsidRPr="008D50B3">
        <w:t xml:space="preserve"> tax treaties, </w:t>
      </w:r>
      <w:r w:rsidR="00C57A6E" w:rsidRPr="008D50B3">
        <w:t xml:space="preserve">transfer </w:t>
      </w:r>
      <w:r w:rsidR="00C57A6E">
        <w:t xml:space="preserve">pricing, the </w:t>
      </w:r>
      <w:r w:rsidRPr="008D50B3">
        <w:t>foreign tax credit, and</w:t>
      </w:r>
      <w:r w:rsidR="00C57A6E">
        <w:t xml:space="preserve"> controlled foreign corporations</w:t>
      </w:r>
      <w:r w:rsidRPr="008D50B3">
        <w:t>.</w:t>
      </w:r>
    </w:p>
    <w:p w:rsidR="00503E2E" w:rsidRPr="008D50B3" w:rsidRDefault="00503E2E" w:rsidP="00503E2E">
      <w:pPr>
        <w:pStyle w:val="Heading2"/>
        <w:rPr>
          <w:rFonts w:ascii="Times New Roman" w:hAnsi="Times New Roman" w:cs="Times New Roman"/>
        </w:rPr>
      </w:pPr>
      <w:r w:rsidRPr="008D50B3">
        <w:rPr>
          <w:rFonts w:ascii="Times New Roman" w:hAnsi="Times New Roman" w:cs="Times New Roman"/>
        </w:rPr>
        <w:t>Student Learning Objectives</w:t>
      </w:r>
    </w:p>
    <w:p w:rsidR="004E5809" w:rsidRPr="008D50B3" w:rsidRDefault="004E5809" w:rsidP="00E42C9A">
      <w:pPr>
        <w:numPr>
          <w:ilvl w:val="0"/>
          <w:numId w:val="3"/>
        </w:numPr>
      </w:pPr>
      <w:r w:rsidRPr="008D50B3">
        <w:t>Understand the statutory framework of the international provisions of the Internal Revenue Code.</w:t>
      </w:r>
    </w:p>
    <w:p w:rsidR="00C57A6E" w:rsidRDefault="009B4332" w:rsidP="00E42C9A">
      <w:pPr>
        <w:numPr>
          <w:ilvl w:val="0"/>
          <w:numId w:val="3"/>
        </w:numPr>
      </w:pPr>
      <w:r w:rsidRPr="008D50B3">
        <w:t xml:space="preserve">Be able to identify the primary federal income rules that apply to international transactions of domestic </w:t>
      </w:r>
      <w:r w:rsidR="00C57A6E">
        <w:t xml:space="preserve">taxpayers and how the U.S. tax rules avoid double taxation of foreign income.  </w:t>
      </w:r>
    </w:p>
    <w:p w:rsidR="00C57A6E" w:rsidRDefault="00C57A6E" w:rsidP="00E42C9A">
      <w:pPr>
        <w:numPr>
          <w:ilvl w:val="0"/>
          <w:numId w:val="3"/>
        </w:numPr>
      </w:pPr>
      <w:r>
        <w:t xml:space="preserve">Understand the U.S. tax reporting obligations of foreign persons with income or activities within the United States.  </w:t>
      </w:r>
    </w:p>
    <w:p w:rsidR="009B4332" w:rsidRDefault="009B4332" w:rsidP="00E42C9A">
      <w:pPr>
        <w:numPr>
          <w:ilvl w:val="0"/>
          <w:numId w:val="3"/>
        </w:numPr>
      </w:pPr>
      <w:r w:rsidRPr="008D50B3">
        <w:t xml:space="preserve">Be able to explain </w:t>
      </w:r>
      <w:r w:rsidR="004E5809" w:rsidRPr="008D50B3">
        <w:t xml:space="preserve">and apply </w:t>
      </w:r>
      <w:r w:rsidRPr="008D50B3">
        <w:t>common federal income tax rules such as residency, sourcing, foreign tax credit, permanent establishment</w:t>
      </w:r>
      <w:r w:rsidR="004E5809" w:rsidRPr="008D50B3">
        <w:t>, and transfer pricing.</w:t>
      </w:r>
    </w:p>
    <w:p w:rsidR="00A03F7D" w:rsidRPr="008D50B3" w:rsidRDefault="00A03F7D" w:rsidP="00E42C9A">
      <w:pPr>
        <w:numPr>
          <w:ilvl w:val="0"/>
          <w:numId w:val="3"/>
        </w:numPr>
      </w:pPr>
      <w:r>
        <w:lastRenderedPageBreak/>
        <w:t xml:space="preserve">Be able to relate key rules and concepts to U.S. tax compliance obligations associated with international operations. </w:t>
      </w:r>
    </w:p>
    <w:p w:rsidR="004E5809" w:rsidRDefault="004E5809" w:rsidP="00E42C9A">
      <w:pPr>
        <w:numPr>
          <w:ilvl w:val="0"/>
          <w:numId w:val="3"/>
        </w:numPr>
      </w:pPr>
      <w:r w:rsidRPr="008D50B3">
        <w:t>Be familiar with proposals for changing the U.S. international tax rules.</w:t>
      </w:r>
    </w:p>
    <w:p w:rsidR="002D5D32" w:rsidRPr="008D50B3" w:rsidRDefault="002D5D32" w:rsidP="00E42C9A">
      <w:pPr>
        <w:numPr>
          <w:ilvl w:val="0"/>
          <w:numId w:val="3"/>
        </w:numPr>
      </w:pPr>
      <w:r>
        <w:t>Detailed learning objectives by lesson to be distributed by the instructor</w:t>
      </w:r>
      <w:r w:rsidR="004A4CE5">
        <w:t xml:space="preserve"> to enrolled students</w:t>
      </w:r>
      <w:r>
        <w:t>.</w:t>
      </w:r>
    </w:p>
    <w:p w:rsidR="00503E2E" w:rsidRPr="008D50B3" w:rsidRDefault="00503E2E" w:rsidP="00503E2E">
      <w:pPr>
        <w:pStyle w:val="Heading2"/>
        <w:rPr>
          <w:rFonts w:ascii="Times New Roman" w:hAnsi="Times New Roman" w:cs="Times New Roman"/>
        </w:rPr>
      </w:pPr>
      <w:r w:rsidRPr="008D50B3">
        <w:rPr>
          <w:rFonts w:ascii="Times New Roman" w:hAnsi="Times New Roman" w:cs="Times New Roman"/>
        </w:rPr>
        <w:t xml:space="preserve">Required Texts/Readings </w:t>
      </w:r>
    </w:p>
    <w:p w:rsidR="00503E2E" w:rsidRPr="008D50B3" w:rsidRDefault="00503E2E" w:rsidP="00503E2E">
      <w:pPr>
        <w:pStyle w:val="Heading3"/>
      </w:pPr>
      <w:r w:rsidRPr="008D50B3">
        <w:t>Textbook</w:t>
      </w:r>
      <w:r w:rsidR="0029128A">
        <w:t>s</w:t>
      </w:r>
    </w:p>
    <w:p w:rsidR="002D5D32" w:rsidRDefault="00CB5A11" w:rsidP="002D5D32">
      <w:pPr>
        <w:pStyle w:val="ListParagraph"/>
        <w:numPr>
          <w:ilvl w:val="0"/>
          <w:numId w:val="5"/>
        </w:numPr>
        <w:shd w:val="clear" w:color="auto" w:fill="FFFFFF"/>
        <w:spacing w:after="120"/>
        <w:rPr>
          <w:rFonts w:ascii="Times New Roman" w:eastAsia="Times New Roman" w:hAnsi="Times New Roman"/>
          <w:bCs/>
          <w:color w:val="000000"/>
        </w:rPr>
      </w:pPr>
      <w:r w:rsidRPr="004A4CE5">
        <w:rPr>
          <w:rFonts w:ascii="Times New Roman" w:hAnsi="Times New Roman"/>
        </w:rPr>
        <w:t>BNA</w:t>
      </w:r>
      <w:r w:rsidRPr="004A4CE5">
        <w:rPr>
          <w:rFonts w:ascii="Times New Roman" w:hAnsi="Times New Roman"/>
          <w:i/>
        </w:rPr>
        <w:t xml:space="preserve"> </w:t>
      </w:r>
      <w:r w:rsidRPr="004A4CE5">
        <w:rPr>
          <w:rFonts w:ascii="Times New Roman" w:eastAsia="Times New Roman" w:hAnsi="Times New Roman"/>
          <w:bCs/>
          <w:color w:val="000000"/>
        </w:rPr>
        <w:t xml:space="preserve">Portfolio 900-2nd: </w:t>
      </w:r>
      <w:r w:rsidRPr="004A4CE5">
        <w:rPr>
          <w:rFonts w:ascii="Times New Roman" w:eastAsia="Times New Roman" w:hAnsi="Times New Roman"/>
          <w:bCs/>
          <w:i/>
          <w:color w:val="000000"/>
        </w:rPr>
        <w:t>Foundations of U.S. International Taxation</w:t>
      </w:r>
      <w:r w:rsidRPr="004A4CE5">
        <w:rPr>
          <w:rFonts w:ascii="Times New Roman" w:eastAsia="Times New Roman" w:hAnsi="Times New Roman"/>
          <w:bCs/>
          <w:color w:val="000000"/>
        </w:rPr>
        <w:t xml:space="preserve"> (available on the King Library database for MST students)</w:t>
      </w:r>
      <w:r w:rsidR="003630C8" w:rsidRPr="004A4CE5">
        <w:rPr>
          <w:rFonts w:ascii="Times New Roman" w:eastAsia="Times New Roman" w:hAnsi="Times New Roman"/>
          <w:bCs/>
          <w:color w:val="000000"/>
        </w:rPr>
        <w:t xml:space="preserve"> [</w:t>
      </w:r>
      <w:r w:rsidR="004671D2">
        <w:rPr>
          <w:rFonts w:ascii="Times New Roman" w:eastAsia="Times New Roman" w:hAnsi="Times New Roman"/>
          <w:bCs/>
          <w:color w:val="000000"/>
        </w:rPr>
        <w:t>hereinafter, “</w:t>
      </w:r>
      <w:r w:rsidR="003630C8" w:rsidRPr="004A4CE5">
        <w:rPr>
          <w:rFonts w:ascii="Times New Roman" w:eastAsia="Times New Roman" w:hAnsi="Times New Roman"/>
          <w:bCs/>
          <w:color w:val="000000"/>
        </w:rPr>
        <w:t>BNA</w:t>
      </w:r>
      <w:r w:rsidR="004671D2">
        <w:rPr>
          <w:rFonts w:ascii="Times New Roman" w:eastAsia="Times New Roman" w:hAnsi="Times New Roman"/>
          <w:bCs/>
          <w:color w:val="000000"/>
        </w:rPr>
        <w:t xml:space="preserve"> – Foundations”</w:t>
      </w:r>
      <w:r w:rsidR="003630C8" w:rsidRPr="004A4CE5">
        <w:rPr>
          <w:rFonts w:ascii="Times New Roman" w:eastAsia="Times New Roman" w:hAnsi="Times New Roman"/>
          <w:bCs/>
          <w:color w:val="000000"/>
        </w:rPr>
        <w:t>]</w:t>
      </w:r>
    </w:p>
    <w:p w:rsidR="004A4CE5" w:rsidRPr="004A4CE5" w:rsidRDefault="004A4CE5" w:rsidP="004A4CE5">
      <w:pPr>
        <w:pStyle w:val="ListParagraph"/>
        <w:shd w:val="clear" w:color="auto" w:fill="FFFFFF"/>
        <w:spacing w:after="120"/>
        <w:rPr>
          <w:rFonts w:ascii="Times New Roman" w:eastAsia="Times New Roman" w:hAnsi="Times New Roman"/>
          <w:bCs/>
          <w:color w:val="000000"/>
        </w:rPr>
      </w:pPr>
    </w:p>
    <w:p w:rsidR="004671D2" w:rsidRPr="004671D2" w:rsidRDefault="004671D2" w:rsidP="00E42C9A">
      <w:pPr>
        <w:pStyle w:val="ListParagraph"/>
        <w:numPr>
          <w:ilvl w:val="0"/>
          <w:numId w:val="5"/>
        </w:numPr>
        <w:shd w:val="clear" w:color="auto" w:fill="FFFFFF"/>
        <w:spacing w:after="120"/>
        <w:rPr>
          <w:rFonts w:ascii="Times New Roman" w:eastAsia="Times New Roman" w:hAnsi="Times New Roman"/>
          <w:bCs/>
          <w:color w:val="000000"/>
        </w:rPr>
      </w:pPr>
      <w:r>
        <w:rPr>
          <w:rFonts w:ascii="Times New Roman" w:eastAsia="Times New Roman" w:hAnsi="Times New Roman"/>
          <w:bCs/>
          <w:color w:val="000000"/>
        </w:rPr>
        <w:t>Richard L. Doernberg, “International Taxation in a Nutshell” (West 9</w:t>
      </w:r>
      <w:r w:rsidRPr="004671D2">
        <w:rPr>
          <w:rFonts w:ascii="Times New Roman" w:eastAsia="Times New Roman" w:hAnsi="Times New Roman"/>
          <w:bCs/>
          <w:color w:val="000000"/>
          <w:vertAlign w:val="superscript"/>
        </w:rPr>
        <w:t>th</w:t>
      </w:r>
      <w:r>
        <w:rPr>
          <w:rFonts w:ascii="Times New Roman" w:eastAsia="Times New Roman" w:hAnsi="Times New Roman"/>
          <w:bCs/>
          <w:color w:val="000000"/>
        </w:rPr>
        <w:t xml:space="preserve"> Ed. 2012) [hereinafter, “Nutshell”]</w:t>
      </w:r>
    </w:p>
    <w:p w:rsidR="004671D2" w:rsidRDefault="004671D2" w:rsidP="004671D2">
      <w:pPr>
        <w:pStyle w:val="ListParagraph"/>
        <w:rPr>
          <w:rFonts w:ascii="Times New Roman" w:hAnsi="Times New Roman"/>
        </w:rPr>
      </w:pPr>
    </w:p>
    <w:p w:rsidR="00CB5A11" w:rsidRPr="008D50B3" w:rsidRDefault="00CB5A11" w:rsidP="00CB5A11">
      <w:pPr>
        <w:pStyle w:val="ListParagraph"/>
        <w:shd w:val="clear" w:color="auto" w:fill="FFFFFF"/>
        <w:ind w:left="0"/>
        <w:rPr>
          <w:rFonts w:ascii="Times New Roman" w:eastAsia="Times New Roman" w:hAnsi="Times New Roman"/>
          <w:bCs/>
          <w:color w:val="000000"/>
          <w:sz w:val="20"/>
          <w:szCs w:val="20"/>
        </w:rPr>
      </w:pPr>
    </w:p>
    <w:p w:rsidR="004E5809" w:rsidRPr="008D50B3" w:rsidRDefault="00503E2E" w:rsidP="004E5809">
      <w:pPr>
        <w:pStyle w:val="Heading3"/>
      </w:pPr>
      <w:r w:rsidRPr="008D50B3">
        <w:t>Other Readings</w:t>
      </w:r>
    </w:p>
    <w:p w:rsidR="0029128A" w:rsidRDefault="0029128A" w:rsidP="0029128A">
      <w:pPr>
        <w:pStyle w:val="ListParagraph"/>
        <w:numPr>
          <w:ilvl w:val="0"/>
          <w:numId w:val="4"/>
        </w:numPr>
        <w:shd w:val="clear" w:color="auto" w:fill="FFFFFF"/>
        <w:spacing w:after="120"/>
        <w:rPr>
          <w:rFonts w:ascii="Times New Roman" w:eastAsia="Times New Roman" w:hAnsi="Times New Roman"/>
          <w:bCs/>
          <w:color w:val="000000"/>
        </w:rPr>
      </w:pPr>
      <w:r>
        <w:rPr>
          <w:rFonts w:ascii="Times New Roman" w:eastAsia="Times New Roman" w:hAnsi="Times New Roman"/>
          <w:bCs/>
          <w:color w:val="000000"/>
        </w:rPr>
        <w:t xml:space="preserve">Primary Sources: the </w:t>
      </w:r>
      <w:r w:rsidRPr="008D50B3">
        <w:rPr>
          <w:rFonts w:ascii="Times New Roman" w:eastAsia="Times New Roman" w:hAnsi="Times New Roman"/>
          <w:bCs/>
          <w:color w:val="000000"/>
        </w:rPr>
        <w:t>Internal Revenue Code</w:t>
      </w:r>
      <w:r>
        <w:rPr>
          <w:rFonts w:ascii="Times New Roman" w:eastAsia="Times New Roman" w:hAnsi="Times New Roman"/>
          <w:bCs/>
          <w:color w:val="000000"/>
        </w:rPr>
        <w:t>, the Treasury Regulations, case law and administrative rulings</w:t>
      </w:r>
      <w:r w:rsidRPr="008D50B3">
        <w:rPr>
          <w:rFonts w:ascii="Times New Roman" w:eastAsia="Times New Roman" w:hAnsi="Times New Roman"/>
          <w:bCs/>
          <w:color w:val="000000"/>
        </w:rPr>
        <w:t xml:space="preserve"> (available from RIA Checkpoint and CCH</w:t>
      </w:r>
      <w:r>
        <w:rPr>
          <w:rFonts w:ascii="Times New Roman" w:eastAsia="Times New Roman" w:hAnsi="Times New Roman"/>
          <w:bCs/>
          <w:color w:val="000000"/>
        </w:rPr>
        <w:t>, among other sources</w:t>
      </w:r>
      <w:r w:rsidRPr="008D50B3">
        <w:rPr>
          <w:rFonts w:ascii="Times New Roman" w:eastAsia="Times New Roman" w:hAnsi="Times New Roman"/>
          <w:bCs/>
          <w:color w:val="000000"/>
        </w:rPr>
        <w:t>)</w:t>
      </w:r>
    </w:p>
    <w:p w:rsidR="0029128A" w:rsidRDefault="0029128A" w:rsidP="0029128A">
      <w:pPr>
        <w:pStyle w:val="ListParagraph"/>
        <w:shd w:val="clear" w:color="auto" w:fill="FFFFFF"/>
        <w:spacing w:after="120"/>
        <w:rPr>
          <w:rFonts w:ascii="Times New Roman" w:eastAsia="Times New Roman" w:hAnsi="Times New Roman"/>
          <w:bCs/>
          <w:color w:val="000000"/>
        </w:rPr>
      </w:pPr>
    </w:p>
    <w:p w:rsidR="00D43756" w:rsidRPr="00D43756" w:rsidRDefault="00D43756" w:rsidP="004671D2">
      <w:pPr>
        <w:pStyle w:val="ListParagraph"/>
        <w:numPr>
          <w:ilvl w:val="0"/>
          <w:numId w:val="4"/>
        </w:numPr>
        <w:shd w:val="clear" w:color="auto" w:fill="FFFFFF"/>
        <w:spacing w:after="120"/>
        <w:rPr>
          <w:rFonts w:ascii="Times New Roman" w:eastAsia="Times New Roman" w:hAnsi="Times New Roman"/>
          <w:bCs/>
          <w:color w:val="000000"/>
        </w:rPr>
      </w:pPr>
      <w:r>
        <w:rPr>
          <w:rFonts w:ascii="Times New Roman" w:eastAsia="Times New Roman" w:hAnsi="Times New Roman"/>
          <w:bCs/>
          <w:color w:val="000000"/>
        </w:rPr>
        <w:t xml:space="preserve">Slides / Lecture Outlines to be </w:t>
      </w:r>
      <w:r w:rsidR="0029128A">
        <w:rPr>
          <w:rFonts w:ascii="Times New Roman" w:eastAsia="Times New Roman" w:hAnsi="Times New Roman"/>
          <w:bCs/>
          <w:color w:val="000000"/>
        </w:rPr>
        <w:t xml:space="preserve">distributed to enrolled students via email and Canvas </w:t>
      </w:r>
    </w:p>
    <w:p w:rsidR="00D43756" w:rsidRPr="00D43756" w:rsidRDefault="00D43756" w:rsidP="00D43756">
      <w:pPr>
        <w:pStyle w:val="ListParagraph"/>
        <w:shd w:val="clear" w:color="auto" w:fill="FFFFFF"/>
        <w:spacing w:after="120"/>
        <w:rPr>
          <w:rFonts w:ascii="Times New Roman" w:eastAsia="Times New Roman" w:hAnsi="Times New Roman"/>
          <w:bCs/>
          <w:color w:val="000000"/>
        </w:rPr>
      </w:pPr>
    </w:p>
    <w:p w:rsidR="004671D2" w:rsidRPr="004671D2" w:rsidRDefault="004671D2" w:rsidP="004671D2">
      <w:pPr>
        <w:pStyle w:val="ListParagraph"/>
        <w:numPr>
          <w:ilvl w:val="0"/>
          <w:numId w:val="4"/>
        </w:numPr>
        <w:shd w:val="clear" w:color="auto" w:fill="FFFFFF"/>
        <w:spacing w:after="120"/>
        <w:rPr>
          <w:rFonts w:ascii="Times New Roman" w:eastAsia="Times New Roman" w:hAnsi="Times New Roman"/>
          <w:bCs/>
          <w:color w:val="000000"/>
        </w:rPr>
      </w:pPr>
      <w:r>
        <w:rPr>
          <w:rFonts w:ascii="Times New Roman" w:hAnsi="Times New Roman"/>
        </w:rPr>
        <w:t xml:space="preserve">Selected other BNA Portfolio assignments and secondary sources to be distributed to enrolled students via Canvas (see syllabus below) </w:t>
      </w:r>
    </w:p>
    <w:p w:rsidR="009A5E7D" w:rsidRPr="008D50B3" w:rsidRDefault="009A5E7D" w:rsidP="009A5E7D">
      <w:pPr>
        <w:numPr>
          <w:ilvl w:val="0"/>
          <w:numId w:val="4"/>
        </w:numPr>
      </w:pPr>
      <w:r w:rsidRPr="008D50B3">
        <w:rPr>
          <w:rStyle w:val="Strong"/>
          <w:b w:val="0"/>
        </w:rPr>
        <w:t xml:space="preserve">Selected IRS </w:t>
      </w:r>
      <w:r>
        <w:rPr>
          <w:rStyle w:val="Strong"/>
          <w:b w:val="0"/>
        </w:rPr>
        <w:t xml:space="preserve">Forms and publications </w:t>
      </w:r>
    </w:p>
    <w:p w:rsidR="009A5E7D" w:rsidRPr="009A5E7D" w:rsidRDefault="009A5E7D" w:rsidP="009A5E7D">
      <w:pPr>
        <w:numPr>
          <w:ilvl w:val="0"/>
          <w:numId w:val="4"/>
        </w:numPr>
        <w:rPr>
          <w:rStyle w:val="Strong"/>
          <w:b w:val="0"/>
          <w:bCs w:val="0"/>
        </w:rPr>
      </w:pPr>
      <w:r>
        <w:rPr>
          <w:rStyle w:val="Strong"/>
          <w:b w:val="0"/>
        </w:rPr>
        <w:t>Training manuals published by the IRS International Practice Units [Hereafter – “IPU Manuals”], available at (</w:t>
      </w:r>
      <w:hyperlink r:id="rId9" w:history="1">
        <w:r w:rsidRPr="003D3628">
          <w:rPr>
            <w:rStyle w:val="Hyperlink"/>
          </w:rPr>
          <w:t>http://www.irs.gov/Businesses/Corporations/International-Practice-Units</w:t>
        </w:r>
      </w:hyperlink>
      <w:r>
        <w:rPr>
          <w:rStyle w:val="Strong"/>
          <w:b w:val="0"/>
        </w:rPr>
        <w:t xml:space="preserve">  </w:t>
      </w:r>
    </w:p>
    <w:p w:rsidR="00503E2E" w:rsidRPr="008D50B3" w:rsidRDefault="00503E2E" w:rsidP="00503E2E">
      <w:pPr>
        <w:pStyle w:val="Heading2"/>
        <w:rPr>
          <w:rFonts w:ascii="Times New Roman" w:hAnsi="Times New Roman" w:cs="Times New Roman"/>
        </w:rPr>
      </w:pPr>
      <w:r w:rsidRPr="008D50B3">
        <w:rPr>
          <w:rFonts w:ascii="Times New Roman" w:hAnsi="Times New Roman" w:cs="Times New Roman"/>
        </w:rPr>
        <w:t>Assignments and Grading Policy</w:t>
      </w:r>
    </w:p>
    <w:p w:rsidR="006028AB" w:rsidRDefault="00CB5A11" w:rsidP="00CB5A11">
      <w:r w:rsidRPr="008D50B3">
        <w:t>Assignments are listed below. All homework must be turned in when due</w:t>
      </w:r>
      <w:r w:rsidR="00D43756">
        <w:t xml:space="preserve"> for full credit</w:t>
      </w:r>
      <w:r w:rsidRPr="008D50B3">
        <w:t>.</w:t>
      </w:r>
      <w:r w:rsidR="00D43756">
        <w:t xml:space="preserve">  Late homework will be docked 10 percent of total points for each day it is late and not accepted after answers to the assignment have been distributed.  </w:t>
      </w:r>
      <w:r w:rsidR="00135473">
        <w:t xml:space="preserve">The grade of 100 points for homework will be based on the </w:t>
      </w:r>
      <w:r w:rsidR="006028AB">
        <w:t>4</w:t>
      </w:r>
      <w:r w:rsidR="00135473">
        <w:t xml:space="preserve"> highest scores of the </w:t>
      </w:r>
      <w:r w:rsidR="006028AB">
        <w:t>5</w:t>
      </w:r>
      <w:r w:rsidR="00135473">
        <w:t xml:space="preserve"> total </w:t>
      </w:r>
      <w:r w:rsidR="00D43756">
        <w:t>homework assignments.</w:t>
      </w:r>
      <w:r w:rsidR="006028AB">
        <w:t xml:space="preserve">  </w:t>
      </w:r>
    </w:p>
    <w:p w:rsidR="00D43756" w:rsidRDefault="006028AB" w:rsidP="00CB5A11">
      <w:r>
        <w:t xml:space="preserve">The final exam will be an in-class Exam.  For the exam, you can bring copies of Code and Regulations, and an up to five-page outline that you have prepared yourself.  Commercially purchased outlines and any secondary source material will not be allowed into the final.     </w:t>
      </w:r>
    </w:p>
    <w:p w:rsidR="00CB5A11" w:rsidRDefault="00D43756" w:rsidP="00887631">
      <w:pPr>
        <w:keepNext/>
      </w:pPr>
      <w:r>
        <w:lastRenderedPageBreak/>
        <w:t>The course will be graded on a curve, with g</w:t>
      </w:r>
      <w:r w:rsidR="00CB5A11" w:rsidRPr="008D50B3">
        <w:t>rades follow</w:t>
      </w:r>
      <w:r>
        <w:t>ing</w:t>
      </w:r>
      <w:r w:rsidR="00CB5A11" w:rsidRPr="008D50B3">
        <w:t xml:space="preserve"> the pattern of 90% or higher for an A, 80% or higher for a B, 70% or higher for a C, etc. </w:t>
      </w:r>
      <w:r>
        <w:t xml:space="preserve"> </w:t>
      </w:r>
      <w:r w:rsidR="00CB5A11" w:rsidRPr="008D50B3">
        <w:t xml:space="preserve">Plus and minus grades will be used for scores within two percentage points of the grade breakpoint.  </w:t>
      </w:r>
    </w:p>
    <w:p w:rsidR="008044F9" w:rsidRPr="008D50B3" w:rsidRDefault="00EE221A" w:rsidP="00887631">
      <w:pPr>
        <w:keepNext/>
        <w:ind w:left="360"/>
      </w:pPr>
      <w:r>
        <w:t>Homework a</w:t>
      </w:r>
      <w:r w:rsidR="008044F9" w:rsidRPr="008D50B3">
        <w:t>ssignments</w:t>
      </w:r>
      <w:r w:rsidR="00D43756">
        <w:tab/>
      </w:r>
      <w:r w:rsidR="00D43756">
        <w:tab/>
      </w:r>
      <w:r w:rsidR="008044F9" w:rsidRPr="008D50B3">
        <w:tab/>
      </w:r>
      <w:r w:rsidR="008044F9" w:rsidRPr="008D50B3">
        <w:tab/>
      </w:r>
      <w:r w:rsidR="008044F9" w:rsidRPr="008D50B3">
        <w:tab/>
        <w:t>100</w:t>
      </w:r>
    </w:p>
    <w:p w:rsidR="008044F9" w:rsidRPr="008D50B3" w:rsidRDefault="00E0641E" w:rsidP="008044F9">
      <w:pPr>
        <w:ind w:left="360"/>
      </w:pPr>
      <w:r>
        <w:t>In-c</w:t>
      </w:r>
      <w:r w:rsidR="00D43756">
        <w:t>lass p</w:t>
      </w:r>
      <w:r w:rsidR="008044F9" w:rsidRPr="008D50B3">
        <w:t>resentation</w:t>
      </w:r>
      <w:r w:rsidR="00EE221A">
        <w:t xml:space="preserve"> (group)</w:t>
      </w:r>
      <w:r w:rsidR="008044F9" w:rsidRPr="008D50B3">
        <w:tab/>
      </w:r>
      <w:r w:rsidR="00EE221A">
        <w:tab/>
      </w:r>
      <w:r w:rsidR="00EE221A">
        <w:tab/>
      </w:r>
      <w:r w:rsidR="00EE221A">
        <w:tab/>
      </w:r>
      <w:r w:rsidR="008044F9" w:rsidRPr="008D50B3">
        <w:t xml:space="preserve">  </w:t>
      </w:r>
      <w:r>
        <w:t>3</w:t>
      </w:r>
      <w:r w:rsidR="008044F9" w:rsidRPr="008D50B3">
        <w:t>0</w:t>
      </w:r>
    </w:p>
    <w:p w:rsidR="008044F9" w:rsidRPr="008D50B3" w:rsidRDefault="008044F9" w:rsidP="008044F9">
      <w:pPr>
        <w:ind w:left="360"/>
      </w:pPr>
      <w:r w:rsidRPr="008D50B3">
        <w:t>In-class quizzes</w:t>
      </w:r>
      <w:r w:rsidRPr="008D50B3">
        <w:tab/>
      </w:r>
      <w:r w:rsidR="00D43756">
        <w:tab/>
      </w:r>
      <w:r w:rsidR="00EE221A">
        <w:tab/>
      </w:r>
      <w:r w:rsidR="00EE221A">
        <w:tab/>
      </w:r>
      <w:r w:rsidR="00EE221A">
        <w:tab/>
      </w:r>
      <w:r w:rsidR="00D43756">
        <w:tab/>
      </w:r>
      <w:r w:rsidRPr="008D50B3">
        <w:tab/>
        <w:t xml:space="preserve">  </w:t>
      </w:r>
      <w:r w:rsidR="00D43756">
        <w:t>3</w:t>
      </w:r>
      <w:r w:rsidRPr="008D50B3">
        <w:t>0</w:t>
      </w:r>
    </w:p>
    <w:p w:rsidR="008044F9" w:rsidRPr="008D50B3" w:rsidRDefault="008044F9" w:rsidP="008044F9">
      <w:pPr>
        <w:ind w:left="360"/>
      </w:pPr>
      <w:r w:rsidRPr="008D50B3">
        <w:t>Final exam</w:t>
      </w:r>
      <w:r w:rsidRPr="008D50B3">
        <w:tab/>
      </w:r>
      <w:r w:rsidRPr="008D50B3">
        <w:tab/>
      </w:r>
      <w:r w:rsidRPr="008D50B3">
        <w:tab/>
      </w:r>
      <w:r w:rsidRPr="008D50B3">
        <w:tab/>
      </w:r>
      <w:r w:rsidR="00D43756">
        <w:tab/>
      </w:r>
      <w:r w:rsidR="00EE221A">
        <w:tab/>
      </w:r>
      <w:r w:rsidR="00EE221A">
        <w:tab/>
      </w:r>
      <w:r w:rsidR="00EE221A">
        <w:tab/>
      </w:r>
      <w:r w:rsidR="00D43756">
        <w:tab/>
      </w:r>
      <w:r w:rsidRPr="008D50B3">
        <w:rPr>
          <w:u w:val="single"/>
        </w:rPr>
        <w:t>1</w:t>
      </w:r>
      <w:r w:rsidR="00E0641E">
        <w:rPr>
          <w:u w:val="single"/>
        </w:rPr>
        <w:t>4</w:t>
      </w:r>
      <w:r w:rsidRPr="008D50B3">
        <w:rPr>
          <w:u w:val="single"/>
        </w:rPr>
        <w:t>0</w:t>
      </w:r>
    </w:p>
    <w:p w:rsidR="008044F9" w:rsidRPr="008D50B3" w:rsidRDefault="008044F9" w:rsidP="008044F9">
      <w:pPr>
        <w:ind w:left="360"/>
      </w:pPr>
      <w:r w:rsidRPr="008D50B3">
        <w:t xml:space="preserve">  Total</w:t>
      </w:r>
      <w:r w:rsidRPr="008D50B3">
        <w:tab/>
      </w:r>
      <w:r w:rsidRPr="008D50B3">
        <w:tab/>
      </w:r>
      <w:r w:rsidRPr="008D50B3">
        <w:tab/>
      </w:r>
      <w:r w:rsidRPr="008D50B3">
        <w:tab/>
      </w:r>
      <w:r w:rsidRPr="008D50B3">
        <w:tab/>
      </w:r>
      <w:r w:rsidR="00EE221A">
        <w:tab/>
      </w:r>
      <w:r w:rsidR="00EE221A">
        <w:tab/>
      </w:r>
      <w:r w:rsidR="00EE221A">
        <w:tab/>
      </w:r>
      <w:r w:rsidR="00D43756">
        <w:tab/>
      </w:r>
      <w:r w:rsidR="00D43756">
        <w:tab/>
      </w:r>
      <w:r w:rsidR="00E0641E">
        <w:t>30</w:t>
      </w:r>
      <w:r w:rsidRPr="008D50B3">
        <w:t>0</w:t>
      </w:r>
    </w:p>
    <w:p w:rsidR="00503E2E" w:rsidRPr="008D50B3" w:rsidRDefault="00503E2E" w:rsidP="00503E2E">
      <w:pPr>
        <w:pStyle w:val="Heading2"/>
        <w:rPr>
          <w:rFonts w:ascii="Times New Roman" w:hAnsi="Times New Roman" w:cs="Times New Roman"/>
        </w:rPr>
      </w:pPr>
      <w:r w:rsidRPr="008D50B3">
        <w:rPr>
          <w:rFonts w:ascii="Times New Roman" w:hAnsi="Times New Roman" w:cs="Times New Roman"/>
        </w:rPr>
        <w:t>University Policies</w:t>
      </w:r>
    </w:p>
    <w:p w:rsidR="00503E2E" w:rsidRPr="008D50B3" w:rsidRDefault="00503E2E" w:rsidP="00503E2E">
      <w:pPr>
        <w:pStyle w:val="Heading3"/>
      </w:pPr>
      <w:r w:rsidRPr="008D50B3">
        <w:t>Academic integrity</w:t>
      </w:r>
    </w:p>
    <w:p w:rsidR="00503E2E" w:rsidRPr="008D50B3" w:rsidRDefault="00503E2E" w:rsidP="00503E2E">
      <w:pPr>
        <w:pStyle w:val="BodyText"/>
        <w:rPr>
          <w:bCs/>
        </w:rPr>
      </w:pPr>
      <w:r w:rsidRPr="008D50B3">
        <w:t>Students should know the University’s Academic Integrity Policy that is available at</w:t>
      </w:r>
      <w:r w:rsidRPr="008D50B3">
        <w:br/>
      </w:r>
      <w:hyperlink r:id="rId10" w:history="1">
        <w:r w:rsidRPr="008D50B3">
          <w:rPr>
            <w:rStyle w:val="Hyperlink"/>
          </w:rPr>
          <w:t>http://www.sa.sjsu.edu/download/judicial_affairs/Academic_Integrity_Policy_S07-2.pdf</w:t>
        </w:r>
      </w:hyperlink>
      <w:r w:rsidRPr="008D50B3">
        <w:br/>
      </w:r>
      <w:r w:rsidRPr="008D50B3">
        <w:rPr>
          <w:bCs/>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Student Conduct and Ethical Development is available at </w:t>
      </w:r>
      <w:r w:rsidRPr="008D50B3">
        <w:rPr>
          <w:bCs/>
        </w:rPr>
        <w:br/>
      </w:r>
      <w:hyperlink r:id="rId11" w:history="1">
        <w:r w:rsidRPr="008D50B3">
          <w:rPr>
            <w:rStyle w:val="Hyperlink"/>
          </w:rPr>
          <w:t>http://www.sa.sjsu.edu/judicial_affairs/index.html</w:t>
        </w:r>
      </w:hyperlink>
    </w:p>
    <w:p w:rsidR="00503E2E" w:rsidRPr="008D50B3" w:rsidRDefault="00503E2E" w:rsidP="00503E2E">
      <w:pPr>
        <w:pStyle w:val="BodyText"/>
      </w:pPr>
      <w:r w:rsidRPr="008D50B3">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503E2E" w:rsidRPr="008D50B3" w:rsidRDefault="00503E2E" w:rsidP="00503E2E">
      <w:pPr>
        <w:pStyle w:val="Heading3"/>
      </w:pPr>
      <w:r w:rsidRPr="008D50B3">
        <w:t>Campus Policy in Compliance with the American Disabilities Act</w:t>
      </w:r>
    </w:p>
    <w:p w:rsidR="00583B0C" w:rsidRPr="008D50B3" w:rsidRDefault="00503E2E" w:rsidP="008044F9">
      <w:pPr>
        <w:pStyle w:val="BodyText"/>
      </w:pPr>
      <w:r w:rsidRPr="008D50B3">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583B0C" w:rsidRPr="008D50B3" w:rsidRDefault="00583B0C" w:rsidP="00583B0C">
      <w:pPr>
        <w:autoSpaceDE w:val="0"/>
        <w:autoSpaceDN w:val="0"/>
        <w:adjustRightInd w:val="0"/>
        <w:spacing w:after="0"/>
      </w:pPr>
    </w:p>
    <w:p w:rsidR="00E950D0" w:rsidRPr="008D50B3" w:rsidRDefault="00346418" w:rsidP="00E950D0">
      <w:pPr>
        <w:autoSpaceDE w:val="0"/>
        <w:autoSpaceDN w:val="0"/>
        <w:adjustRightInd w:val="0"/>
        <w:spacing w:after="0"/>
      </w:pPr>
      <w:r w:rsidRPr="008D50B3">
        <w:rPr>
          <w:b/>
        </w:rPr>
        <w:t>MST</w:t>
      </w:r>
      <w:r w:rsidR="00583B0C" w:rsidRPr="008D50B3">
        <w:rPr>
          <w:b/>
        </w:rPr>
        <w:t xml:space="preserve"> Program Goals</w:t>
      </w:r>
      <w:r w:rsidR="00E950D0" w:rsidRPr="008D50B3">
        <w:rPr>
          <w:b/>
        </w:rPr>
        <w:br/>
      </w:r>
      <w:r w:rsidR="00E950D0" w:rsidRPr="008D50B3">
        <w:rPr>
          <w:i/>
        </w:rPr>
        <w:t>(Not all program learning goals are covered in every course</w:t>
      </w:r>
      <w:r w:rsidR="00E950D0" w:rsidRPr="008D50B3">
        <w:t>)</w:t>
      </w:r>
    </w:p>
    <w:p w:rsidR="00772C7D" w:rsidRPr="00E75D12" w:rsidRDefault="00772C7D" w:rsidP="00772C7D">
      <w:pPr>
        <w:numPr>
          <w:ilvl w:val="0"/>
          <w:numId w:val="2"/>
        </w:numPr>
      </w:pPr>
      <w:r w:rsidRPr="00E75D12">
        <w:t>To identify, understand and resolve complex and multijurisdictional tax issues within the context of our global economy and society.</w:t>
      </w:r>
    </w:p>
    <w:p w:rsidR="00772C7D" w:rsidRPr="00E75D12" w:rsidRDefault="00772C7D" w:rsidP="00772C7D">
      <w:pPr>
        <w:numPr>
          <w:ilvl w:val="0"/>
          <w:numId w:val="2"/>
        </w:numPr>
      </w:pPr>
      <w:r w:rsidRPr="00E75D12">
        <w:lastRenderedPageBreak/>
        <w:t>To learn and acquire research skills for exploring both familiar and novel areas of the tax law and to communicate the findings using clear terms.</w:t>
      </w:r>
    </w:p>
    <w:p w:rsidR="00772C7D" w:rsidRPr="00E75D12" w:rsidRDefault="00772C7D" w:rsidP="00772C7D">
      <w:pPr>
        <w:numPr>
          <w:ilvl w:val="0"/>
          <w:numId w:val="2"/>
        </w:numPr>
      </w:pPr>
      <w:r w:rsidRPr="00E75D12">
        <w:t>To develop conceptual and critical analytic skills with real world applications.</w:t>
      </w:r>
    </w:p>
    <w:p w:rsidR="00772C7D" w:rsidRPr="00E75D12" w:rsidRDefault="00772C7D" w:rsidP="00772C7D">
      <w:pPr>
        <w:numPr>
          <w:ilvl w:val="0"/>
          <w:numId w:val="2"/>
        </w:numPr>
      </w:pPr>
      <w:r w:rsidRPr="00E75D12">
        <w:t>To appreciate tax policy issues and foundations of the tax law.</w:t>
      </w:r>
    </w:p>
    <w:p w:rsidR="00772C7D" w:rsidRPr="00E75D12" w:rsidRDefault="00772C7D" w:rsidP="00772C7D">
      <w:pPr>
        <w:numPr>
          <w:ilvl w:val="0"/>
          <w:numId w:val="2"/>
        </w:numPr>
      </w:pPr>
      <w:r w:rsidRPr="00E75D12">
        <w:t>To understand the ethical implications of tax practice.</w:t>
      </w:r>
    </w:p>
    <w:p w:rsidR="00503E2E" w:rsidRPr="008D50B3" w:rsidRDefault="00772C7D" w:rsidP="00772C7D">
      <w:pPr>
        <w:numPr>
          <w:ilvl w:val="0"/>
          <w:numId w:val="2"/>
        </w:numPr>
        <w:sectPr w:rsidR="00503E2E" w:rsidRPr="008D50B3" w:rsidSect="00503E2E">
          <w:footerReference w:type="even" r:id="rId12"/>
          <w:footerReference w:type="default" r:id="rId13"/>
          <w:pgSz w:w="12240" w:h="15840"/>
          <w:pgMar w:top="1440" w:right="1584" w:bottom="1008" w:left="1728" w:header="720" w:footer="720" w:gutter="0"/>
          <w:cols w:space="720"/>
          <w:docGrid w:linePitch="360"/>
        </w:sectPr>
      </w:pPr>
      <w:r w:rsidRPr="00E75D12">
        <w:t xml:space="preserve">To develop skills for effective tax practice including keeping current, interacting with others, and career advancement. </w:t>
      </w:r>
      <w:r w:rsidR="00B57962" w:rsidRPr="00772C7D">
        <w:rPr>
          <w:b/>
          <w:bCs/>
        </w:rPr>
        <w:br/>
      </w:r>
    </w:p>
    <w:p w:rsidR="00503E2E" w:rsidRPr="008D50B3" w:rsidRDefault="00D43756" w:rsidP="008044F9">
      <w:pPr>
        <w:pStyle w:val="Heading1"/>
        <w:keepNext w:val="0"/>
        <w:spacing w:after="120"/>
        <w:rPr>
          <w:rFonts w:ascii="Times New Roman" w:hAnsi="Times New Roman" w:cs="Times New Roman"/>
        </w:rPr>
      </w:pPr>
      <w:r>
        <w:rPr>
          <w:rFonts w:ascii="Times New Roman" w:hAnsi="Times New Roman" w:cs="Times New Roman"/>
        </w:rPr>
        <w:lastRenderedPageBreak/>
        <w:t>BUS 225W – Fall 2015</w:t>
      </w:r>
    </w:p>
    <w:tbl>
      <w:tblPr>
        <w:tblW w:w="137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170"/>
        <w:gridCol w:w="3870"/>
        <w:gridCol w:w="4050"/>
        <w:gridCol w:w="2880"/>
        <w:gridCol w:w="1350"/>
      </w:tblGrid>
      <w:tr w:rsidR="007767F8" w:rsidRPr="00887631" w:rsidTr="00887631">
        <w:trPr>
          <w:trHeight w:val="728"/>
        </w:trPr>
        <w:tc>
          <w:tcPr>
            <w:tcW w:w="450" w:type="dxa"/>
          </w:tcPr>
          <w:p w:rsidR="007767F8" w:rsidRPr="00887631" w:rsidRDefault="007767F8" w:rsidP="00503E2E">
            <w:pPr>
              <w:pStyle w:val="contactheading"/>
              <w:jc w:val="center"/>
              <w:rPr>
                <w:rFonts w:cs="Times New Roman"/>
                <w:sz w:val="22"/>
                <w:szCs w:val="22"/>
              </w:rPr>
            </w:pPr>
          </w:p>
        </w:tc>
        <w:tc>
          <w:tcPr>
            <w:tcW w:w="1170" w:type="dxa"/>
          </w:tcPr>
          <w:p w:rsidR="007767F8" w:rsidRPr="00887631" w:rsidRDefault="007767F8" w:rsidP="003630C8">
            <w:pPr>
              <w:pStyle w:val="contactheading"/>
              <w:jc w:val="center"/>
              <w:rPr>
                <w:rFonts w:cs="Times New Roman"/>
                <w:sz w:val="22"/>
                <w:szCs w:val="22"/>
              </w:rPr>
            </w:pPr>
            <w:r w:rsidRPr="00887631">
              <w:rPr>
                <w:rFonts w:cs="Times New Roman"/>
                <w:sz w:val="22"/>
                <w:szCs w:val="22"/>
              </w:rPr>
              <w:t>Date</w:t>
            </w:r>
          </w:p>
        </w:tc>
        <w:tc>
          <w:tcPr>
            <w:tcW w:w="3870" w:type="dxa"/>
          </w:tcPr>
          <w:p w:rsidR="007767F8" w:rsidRPr="00887631" w:rsidRDefault="007767F8" w:rsidP="003630C8">
            <w:pPr>
              <w:pStyle w:val="contactheading"/>
              <w:jc w:val="center"/>
              <w:rPr>
                <w:rFonts w:cs="Times New Roman"/>
                <w:sz w:val="22"/>
                <w:szCs w:val="22"/>
              </w:rPr>
            </w:pPr>
            <w:r w:rsidRPr="00887631">
              <w:rPr>
                <w:rFonts w:cs="Times New Roman"/>
                <w:sz w:val="22"/>
                <w:szCs w:val="22"/>
              </w:rPr>
              <w:t>Topic</w:t>
            </w:r>
          </w:p>
        </w:tc>
        <w:tc>
          <w:tcPr>
            <w:tcW w:w="4050" w:type="dxa"/>
          </w:tcPr>
          <w:p w:rsidR="007767F8" w:rsidRPr="00887631" w:rsidRDefault="007767F8" w:rsidP="00503E2E">
            <w:pPr>
              <w:pStyle w:val="contactheading"/>
              <w:jc w:val="center"/>
              <w:rPr>
                <w:rFonts w:cs="Times New Roman"/>
                <w:sz w:val="22"/>
                <w:szCs w:val="22"/>
              </w:rPr>
            </w:pPr>
            <w:r w:rsidRPr="00887631">
              <w:rPr>
                <w:rFonts w:cs="Times New Roman"/>
                <w:sz w:val="22"/>
                <w:szCs w:val="22"/>
              </w:rPr>
              <w:t>Reading</w:t>
            </w:r>
          </w:p>
        </w:tc>
        <w:tc>
          <w:tcPr>
            <w:tcW w:w="2880" w:type="dxa"/>
          </w:tcPr>
          <w:p w:rsidR="007767F8" w:rsidRPr="00887631" w:rsidRDefault="00F639FB" w:rsidP="00503E2E">
            <w:pPr>
              <w:pStyle w:val="contactheading"/>
              <w:jc w:val="center"/>
              <w:rPr>
                <w:rFonts w:cs="Times New Roman"/>
                <w:sz w:val="22"/>
                <w:szCs w:val="22"/>
              </w:rPr>
            </w:pPr>
            <w:r>
              <w:rPr>
                <w:rFonts w:cs="Times New Roman"/>
                <w:sz w:val="22"/>
                <w:szCs w:val="22"/>
              </w:rPr>
              <w:t xml:space="preserve">Selected </w:t>
            </w:r>
            <w:r w:rsidR="007767F8" w:rsidRPr="00887631">
              <w:rPr>
                <w:rFonts w:cs="Times New Roman"/>
                <w:sz w:val="22"/>
                <w:szCs w:val="22"/>
              </w:rPr>
              <w:t>IRS Forms &amp; Publications</w:t>
            </w:r>
          </w:p>
        </w:tc>
        <w:tc>
          <w:tcPr>
            <w:tcW w:w="1350" w:type="dxa"/>
          </w:tcPr>
          <w:p w:rsidR="007767F8" w:rsidRPr="00887631" w:rsidRDefault="007767F8" w:rsidP="007767F8">
            <w:pPr>
              <w:pStyle w:val="contactheading"/>
              <w:jc w:val="center"/>
              <w:rPr>
                <w:rFonts w:cs="Times New Roman"/>
                <w:sz w:val="22"/>
                <w:szCs w:val="22"/>
              </w:rPr>
            </w:pPr>
            <w:r w:rsidRPr="00887631">
              <w:rPr>
                <w:rFonts w:cs="Times New Roman"/>
                <w:sz w:val="22"/>
                <w:szCs w:val="22"/>
              </w:rPr>
              <w:t>Homework Due</w:t>
            </w:r>
          </w:p>
        </w:tc>
      </w:tr>
      <w:tr w:rsidR="007767F8" w:rsidRPr="00887631" w:rsidTr="00887631">
        <w:tc>
          <w:tcPr>
            <w:tcW w:w="450" w:type="dxa"/>
          </w:tcPr>
          <w:p w:rsidR="007767F8" w:rsidRPr="00887631" w:rsidRDefault="007767F8" w:rsidP="00503E2E">
            <w:pPr>
              <w:pStyle w:val="Tabletext"/>
              <w:rPr>
                <w:sz w:val="22"/>
                <w:szCs w:val="22"/>
              </w:rPr>
            </w:pPr>
            <w:r w:rsidRPr="00887631">
              <w:rPr>
                <w:sz w:val="22"/>
                <w:szCs w:val="22"/>
              </w:rPr>
              <w:t>1</w:t>
            </w:r>
          </w:p>
          <w:p w:rsidR="007767F8" w:rsidRPr="00887631" w:rsidRDefault="007767F8" w:rsidP="00503E2E">
            <w:pPr>
              <w:rPr>
                <w:sz w:val="22"/>
                <w:szCs w:val="22"/>
              </w:rPr>
            </w:pPr>
          </w:p>
        </w:tc>
        <w:tc>
          <w:tcPr>
            <w:tcW w:w="1170" w:type="dxa"/>
          </w:tcPr>
          <w:p w:rsidR="007767F8" w:rsidRPr="00887631" w:rsidRDefault="007767F8" w:rsidP="00843C02">
            <w:pPr>
              <w:pStyle w:val="Tabletext"/>
              <w:jc w:val="center"/>
              <w:rPr>
                <w:sz w:val="22"/>
                <w:szCs w:val="22"/>
              </w:rPr>
            </w:pPr>
            <w:r w:rsidRPr="00887631">
              <w:rPr>
                <w:sz w:val="22"/>
                <w:szCs w:val="22"/>
              </w:rPr>
              <w:t>Monday, 9/21</w:t>
            </w:r>
          </w:p>
        </w:tc>
        <w:tc>
          <w:tcPr>
            <w:tcW w:w="3870" w:type="dxa"/>
          </w:tcPr>
          <w:p w:rsidR="007767F8" w:rsidRPr="00887631" w:rsidRDefault="007767F8" w:rsidP="003630C8">
            <w:pPr>
              <w:pStyle w:val="Tabletext"/>
              <w:ind w:left="-18"/>
              <w:rPr>
                <w:sz w:val="22"/>
                <w:szCs w:val="22"/>
              </w:rPr>
            </w:pPr>
            <w:r w:rsidRPr="00887631">
              <w:rPr>
                <w:sz w:val="22"/>
                <w:szCs w:val="22"/>
              </w:rPr>
              <w:t>Introduction to the course and key concepts:</w:t>
            </w:r>
          </w:p>
          <w:p w:rsidR="007767F8" w:rsidRPr="00887631" w:rsidRDefault="007767F8" w:rsidP="003630C8">
            <w:pPr>
              <w:rPr>
                <w:sz w:val="22"/>
                <w:szCs w:val="22"/>
              </w:rPr>
            </w:pPr>
            <w:r w:rsidRPr="00887631">
              <w:rPr>
                <w:sz w:val="22"/>
                <w:szCs w:val="22"/>
              </w:rPr>
              <w:t xml:space="preserve">  US worldwide system</w:t>
            </w:r>
          </w:p>
          <w:p w:rsidR="007767F8" w:rsidRPr="00887631" w:rsidRDefault="007767F8" w:rsidP="003630C8">
            <w:pPr>
              <w:rPr>
                <w:sz w:val="22"/>
                <w:szCs w:val="22"/>
              </w:rPr>
            </w:pPr>
            <w:r w:rsidRPr="00887631">
              <w:rPr>
                <w:sz w:val="22"/>
                <w:szCs w:val="22"/>
              </w:rPr>
              <w:t xml:space="preserve">  Source vs. Residence taxation</w:t>
            </w:r>
          </w:p>
          <w:p w:rsidR="007767F8" w:rsidRPr="00887631" w:rsidRDefault="007767F8" w:rsidP="003630C8">
            <w:pPr>
              <w:rPr>
                <w:sz w:val="22"/>
                <w:szCs w:val="22"/>
              </w:rPr>
            </w:pPr>
            <w:r w:rsidRPr="00887631">
              <w:rPr>
                <w:sz w:val="22"/>
                <w:szCs w:val="22"/>
              </w:rPr>
              <w:t xml:space="preserve">  Separate entity principle and   treatment of foreign subsidiaries</w:t>
            </w:r>
          </w:p>
          <w:p w:rsidR="007767F8" w:rsidRPr="00887631" w:rsidRDefault="007767F8" w:rsidP="003630C8">
            <w:pPr>
              <w:rPr>
                <w:sz w:val="22"/>
                <w:szCs w:val="22"/>
              </w:rPr>
            </w:pPr>
            <w:r w:rsidRPr="00887631">
              <w:rPr>
                <w:sz w:val="22"/>
                <w:szCs w:val="22"/>
              </w:rPr>
              <w:t>Overall tax policy goals of the international tax system (Capital Export Neutrality vs. Capital Import Neutrality)</w:t>
            </w:r>
          </w:p>
          <w:p w:rsidR="007767F8" w:rsidRPr="00887631" w:rsidRDefault="007767F8" w:rsidP="00843C02">
            <w:pPr>
              <w:rPr>
                <w:sz w:val="22"/>
                <w:szCs w:val="22"/>
              </w:rPr>
            </w:pPr>
            <w:r w:rsidRPr="00887631">
              <w:rPr>
                <w:sz w:val="22"/>
                <w:szCs w:val="22"/>
              </w:rPr>
              <w:t>US tax residency rules for individuals and entities</w:t>
            </w:r>
          </w:p>
          <w:p w:rsidR="007767F8" w:rsidRPr="00887631" w:rsidRDefault="007767F8" w:rsidP="00843C02">
            <w:pPr>
              <w:rPr>
                <w:sz w:val="22"/>
                <w:szCs w:val="22"/>
              </w:rPr>
            </w:pPr>
            <w:r w:rsidRPr="00887631">
              <w:rPr>
                <w:sz w:val="22"/>
                <w:szCs w:val="22"/>
              </w:rPr>
              <w:t>Preview basic examples of direct and indirect foreign tax credit calculation, U.S. taxation</w:t>
            </w:r>
            <w:r w:rsidR="00BA76F8">
              <w:rPr>
                <w:sz w:val="22"/>
                <w:szCs w:val="22"/>
              </w:rPr>
              <w:t xml:space="preserve"> at source, and indirect credit</w:t>
            </w:r>
          </w:p>
        </w:tc>
        <w:tc>
          <w:tcPr>
            <w:tcW w:w="4050" w:type="dxa"/>
          </w:tcPr>
          <w:p w:rsidR="007767F8" w:rsidRPr="00887631" w:rsidRDefault="007767F8" w:rsidP="00503E2E">
            <w:pPr>
              <w:pStyle w:val="Tabletext"/>
              <w:rPr>
                <w:sz w:val="22"/>
                <w:szCs w:val="22"/>
              </w:rPr>
            </w:pPr>
            <w:r w:rsidRPr="00887631">
              <w:rPr>
                <w:sz w:val="22"/>
                <w:szCs w:val="22"/>
              </w:rPr>
              <w:t xml:space="preserve">BNA </w:t>
            </w:r>
            <w:r w:rsidR="00762948" w:rsidRPr="00887631">
              <w:rPr>
                <w:sz w:val="22"/>
                <w:szCs w:val="22"/>
              </w:rPr>
              <w:t>–</w:t>
            </w:r>
            <w:r w:rsidRPr="00887631">
              <w:rPr>
                <w:sz w:val="22"/>
                <w:szCs w:val="22"/>
              </w:rPr>
              <w:t xml:space="preserve"> FOUNDATIONS</w:t>
            </w:r>
            <w:r w:rsidR="00762948" w:rsidRPr="00887631">
              <w:rPr>
                <w:sz w:val="22"/>
                <w:szCs w:val="22"/>
              </w:rPr>
              <w:t xml:space="preserve">, Chapter </w:t>
            </w:r>
            <w:r w:rsidRPr="00887631">
              <w:rPr>
                <w:sz w:val="22"/>
                <w:szCs w:val="22"/>
              </w:rPr>
              <w:t>I</w:t>
            </w:r>
            <w:r w:rsidR="00762948" w:rsidRPr="00887631">
              <w:rPr>
                <w:sz w:val="22"/>
                <w:szCs w:val="22"/>
              </w:rPr>
              <w:t xml:space="preserve"> </w:t>
            </w:r>
          </w:p>
          <w:p w:rsidR="007767F8" w:rsidRPr="00887631" w:rsidRDefault="007767F8" w:rsidP="003630C8">
            <w:pPr>
              <w:rPr>
                <w:sz w:val="22"/>
                <w:szCs w:val="22"/>
              </w:rPr>
            </w:pPr>
          </w:p>
          <w:p w:rsidR="007767F8" w:rsidRPr="00887631" w:rsidRDefault="007767F8" w:rsidP="003630C8">
            <w:pPr>
              <w:rPr>
                <w:sz w:val="22"/>
                <w:szCs w:val="22"/>
              </w:rPr>
            </w:pPr>
            <w:r w:rsidRPr="00887631">
              <w:rPr>
                <w:sz w:val="22"/>
                <w:szCs w:val="22"/>
              </w:rPr>
              <w:t>NUTSHELL, Chapters 1 and 2</w:t>
            </w:r>
          </w:p>
          <w:p w:rsidR="007767F8" w:rsidRPr="00887631" w:rsidRDefault="007767F8" w:rsidP="003630C8">
            <w:pPr>
              <w:rPr>
                <w:sz w:val="22"/>
                <w:szCs w:val="22"/>
              </w:rPr>
            </w:pPr>
          </w:p>
          <w:p w:rsidR="007767F8" w:rsidRPr="00887631" w:rsidRDefault="007767F8" w:rsidP="003630C8">
            <w:pPr>
              <w:rPr>
                <w:sz w:val="22"/>
                <w:szCs w:val="22"/>
              </w:rPr>
            </w:pPr>
            <w:r w:rsidRPr="00887631">
              <w:rPr>
                <w:sz w:val="22"/>
                <w:szCs w:val="22"/>
              </w:rPr>
              <w:t>IRC 7701(a)(30), 7701(b)(1) – (b)(3), 7701(b)(6)</w:t>
            </w:r>
          </w:p>
          <w:p w:rsidR="00E0641E" w:rsidRPr="00887631" w:rsidRDefault="00E0641E" w:rsidP="003630C8">
            <w:pPr>
              <w:rPr>
                <w:i/>
                <w:sz w:val="22"/>
                <w:szCs w:val="22"/>
              </w:rPr>
            </w:pPr>
          </w:p>
          <w:p w:rsidR="007767F8" w:rsidRPr="00887631" w:rsidRDefault="007767F8" w:rsidP="003630C8">
            <w:pPr>
              <w:rPr>
                <w:sz w:val="22"/>
                <w:szCs w:val="22"/>
              </w:rPr>
            </w:pPr>
            <w:r w:rsidRPr="00887631">
              <w:rPr>
                <w:i/>
                <w:sz w:val="22"/>
                <w:szCs w:val="22"/>
              </w:rPr>
              <w:t>Cook v. Tait</w:t>
            </w:r>
            <w:r w:rsidRPr="00887631">
              <w:rPr>
                <w:sz w:val="22"/>
                <w:szCs w:val="22"/>
              </w:rPr>
              <w:t>, 265 U.S. 47 (1924)</w:t>
            </w:r>
          </w:p>
          <w:p w:rsidR="007767F8" w:rsidRPr="00887631" w:rsidRDefault="007767F8" w:rsidP="007767F8">
            <w:pPr>
              <w:rPr>
                <w:sz w:val="22"/>
                <w:szCs w:val="22"/>
              </w:rPr>
            </w:pPr>
          </w:p>
          <w:p w:rsidR="007767F8" w:rsidRPr="00887631" w:rsidRDefault="007767F8" w:rsidP="007767F8">
            <w:pPr>
              <w:rPr>
                <w:sz w:val="22"/>
                <w:szCs w:val="22"/>
              </w:rPr>
            </w:pPr>
            <w:r w:rsidRPr="00887631">
              <w:rPr>
                <w:sz w:val="22"/>
                <w:szCs w:val="22"/>
              </w:rPr>
              <w:t xml:space="preserve">IRS IPU Manuals on Determining Tax Residency of Lawful Permanent Residents (2014), Substantial Presence Test (2014) and First-Year Election under § 7701(b)(4)  </w:t>
            </w:r>
          </w:p>
        </w:tc>
        <w:tc>
          <w:tcPr>
            <w:tcW w:w="2880" w:type="dxa"/>
          </w:tcPr>
          <w:p w:rsidR="007767F8" w:rsidRPr="00887631" w:rsidRDefault="007767F8" w:rsidP="00503E2E">
            <w:pPr>
              <w:pStyle w:val="Tabletext"/>
              <w:rPr>
                <w:sz w:val="22"/>
                <w:szCs w:val="22"/>
              </w:rPr>
            </w:pPr>
            <w:r w:rsidRPr="00887631">
              <w:rPr>
                <w:sz w:val="22"/>
                <w:szCs w:val="22"/>
              </w:rPr>
              <w:t>Non-Resident Alien Tax Return, Form 1040-NR</w:t>
            </w:r>
          </w:p>
          <w:p w:rsidR="007767F8" w:rsidRPr="00887631" w:rsidRDefault="007767F8" w:rsidP="009A5E7D">
            <w:pPr>
              <w:rPr>
                <w:sz w:val="22"/>
                <w:szCs w:val="22"/>
              </w:rPr>
            </w:pPr>
          </w:p>
          <w:p w:rsidR="007767F8" w:rsidRPr="00887631" w:rsidRDefault="007767F8" w:rsidP="009A5E7D">
            <w:pPr>
              <w:rPr>
                <w:sz w:val="22"/>
                <w:szCs w:val="22"/>
              </w:rPr>
            </w:pPr>
            <w:r w:rsidRPr="00887631">
              <w:rPr>
                <w:sz w:val="22"/>
                <w:szCs w:val="22"/>
              </w:rPr>
              <w:t>Closer Connection Statement for Certain Aliens, Form 8840</w:t>
            </w:r>
          </w:p>
          <w:p w:rsidR="007767F8" w:rsidRPr="00887631" w:rsidRDefault="007767F8" w:rsidP="009A5E7D">
            <w:pPr>
              <w:rPr>
                <w:sz w:val="22"/>
                <w:szCs w:val="22"/>
              </w:rPr>
            </w:pPr>
          </w:p>
          <w:p w:rsidR="007767F8" w:rsidRPr="00887631" w:rsidRDefault="007767F8" w:rsidP="009A5E7D">
            <w:pPr>
              <w:rPr>
                <w:sz w:val="22"/>
                <w:szCs w:val="22"/>
              </w:rPr>
            </w:pPr>
            <w:r w:rsidRPr="00887631">
              <w:rPr>
                <w:sz w:val="22"/>
                <w:szCs w:val="22"/>
              </w:rPr>
              <w:t>IRS Publication No. 519, U.S. Tax Guide for Aliens</w:t>
            </w:r>
          </w:p>
          <w:p w:rsidR="007767F8" w:rsidRPr="00887631" w:rsidRDefault="007767F8" w:rsidP="009A5E7D">
            <w:pPr>
              <w:rPr>
                <w:sz w:val="22"/>
                <w:szCs w:val="22"/>
              </w:rPr>
            </w:pPr>
          </w:p>
          <w:p w:rsidR="007767F8" w:rsidRPr="00887631" w:rsidRDefault="007767F8" w:rsidP="009A5E7D">
            <w:pPr>
              <w:rPr>
                <w:sz w:val="22"/>
                <w:szCs w:val="22"/>
              </w:rPr>
            </w:pPr>
          </w:p>
          <w:p w:rsidR="007767F8" w:rsidRPr="00887631" w:rsidRDefault="007767F8" w:rsidP="009A5E7D">
            <w:pPr>
              <w:rPr>
                <w:sz w:val="22"/>
                <w:szCs w:val="22"/>
              </w:rPr>
            </w:pPr>
          </w:p>
        </w:tc>
        <w:tc>
          <w:tcPr>
            <w:tcW w:w="1350" w:type="dxa"/>
          </w:tcPr>
          <w:p w:rsidR="007767F8" w:rsidRPr="00887631" w:rsidRDefault="00FD0DC7" w:rsidP="00FD0DC7">
            <w:pPr>
              <w:pStyle w:val="Tabletext"/>
              <w:rPr>
                <w:sz w:val="22"/>
                <w:szCs w:val="22"/>
              </w:rPr>
            </w:pPr>
            <w:r>
              <w:rPr>
                <w:sz w:val="22"/>
                <w:szCs w:val="22"/>
              </w:rPr>
              <w:t>N/A – Reading only</w:t>
            </w:r>
          </w:p>
        </w:tc>
      </w:tr>
      <w:tr w:rsidR="007767F8" w:rsidRPr="00887631" w:rsidTr="00887631">
        <w:tc>
          <w:tcPr>
            <w:tcW w:w="450" w:type="dxa"/>
          </w:tcPr>
          <w:p w:rsidR="007767F8" w:rsidRPr="00887631" w:rsidRDefault="007767F8" w:rsidP="00503E2E">
            <w:pPr>
              <w:pStyle w:val="Tabletext"/>
              <w:rPr>
                <w:sz w:val="22"/>
                <w:szCs w:val="22"/>
              </w:rPr>
            </w:pPr>
            <w:r w:rsidRPr="00887631">
              <w:rPr>
                <w:sz w:val="22"/>
                <w:szCs w:val="22"/>
              </w:rPr>
              <w:t>2</w:t>
            </w:r>
          </w:p>
          <w:p w:rsidR="007767F8" w:rsidRPr="00887631" w:rsidRDefault="007767F8" w:rsidP="00503E2E">
            <w:pPr>
              <w:rPr>
                <w:sz w:val="22"/>
                <w:szCs w:val="22"/>
              </w:rPr>
            </w:pPr>
          </w:p>
        </w:tc>
        <w:tc>
          <w:tcPr>
            <w:tcW w:w="1170" w:type="dxa"/>
          </w:tcPr>
          <w:p w:rsidR="007767F8" w:rsidRDefault="00EE221A" w:rsidP="003630C8">
            <w:pPr>
              <w:pStyle w:val="Tabletext"/>
              <w:jc w:val="center"/>
              <w:rPr>
                <w:sz w:val="22"/>
                <w:szCs w:val="22"/>
              </w:rPr>
            </w:pPr>
            <w:r>
              <w:rPr>
                <w:sz w:val="22"/>
                <w:szCs w:val="22"/>
              </w:rPr>
              <w:t>Saturday, 9/26</w:t>
            </w:r>
          </w:p>
          <w:p w:rsidR="00EE221A" w:rsidRPr="00EE221A" w:rsidRDefault="00EE221A" w:rsidP="00EE221A">
            <w:r>
              <w:t>9 am – 1 pm</w:t>
            </w:r>
          </w:p>
        </w:tc>
        <w:tc>
          <w:tcPr>
            <w:tcW w:w="3870" w:type="dxa"/>
          </w:tcPr>
          <w:p w:rsidR="007767F8" w:rsidRPr="00887631" w:rsidRDefault="007767F8" w:rsidP="001E30E5">
            <w:pPr>
              <w:pStyle w:val="Tabletext"/>
              <w:spacing w:before="0" w:after="120"/>
              <w:rPr>
                <w:sz w:val="22"/>
                <w:szCs w:val="22"/>
              </w:rPr>
            </w:pPr>
            <w:r w:rsidRPr="00887631">
              <w:rPr>
                <w:sz w:val="22"/>
                <w:szCs w:val="22"/>
              </w:rPr>
              <w:t>Source of Income</w:t>
            </w:r>
          </w:p>
          <w:p w:rsidR="007767F8" w:rsidRPr="00887631" w:rsidRDefault="007767F8" w:rsidP="00E42C9A">
            <w:pPr>
              <w:numPr>
                <w:ilvl w:val="0"/>
                <w:numId w:val="6"/>
              </w:numPr>
              <w:ind w:left="342" w:hanging="368"/>
              <w:jc w:val="both"/>
              <w:rPr>
                <w:color w:val="000000"/>
                <w:sz w:val="22"/>
                <w:szCs w:val="22"/>
              </w:rPr>
            </w:pPr>
            <w:r w:rsidRPr="00887631">
              <w:rPr>
                <w:color w:val="000000"/>
                <w:sz w:val="22"/>
                <w:szCs w:val="22"/>
              </w:rPr>
              <w:t>Why source of income is important to U.S. and foreign taxpayers</w:t>
            </w:r>
          </w:p>
          <w:p w:rsidR="007767F8" w:rsidRPr="00887631" w:rsidRDefault="007767F8" w:rsidP="00E42C9A">
            <w:pPr>
              <w:numPr>
                <w:ilvl w:val="0"/>
                <w:numId w:val="6"/>
              </w:numPr>
              <w:ind w:left="342" w:hanging="368"/>
              <w:jc w:val="both"/>
              <w:rPr>
                <w:color w:val="000000"/>
                <w:sz w:val="22"/>
                <w:szCs w:val="22"/>
                <w:u w:val="single"/>
              </w:rPr>
            </w:pPr>
            <w:r w:rsidRPr="00887631">
              <w:rPr>
                <w:color w:val="000000"/>
                <w:sz w:val="22"/>
                <w:szCs w:val="22"/>
              </w:rPr>
              <w:t>Source rules for inventory property: title passage, §863(b)</w:t>
            </w:r>
          </w:p>
          <w:p w:rsidR="007767F8" w:rsidRPr="00887631" w:rsidRDefault="007767F8" w:rsidP="00E42C9A">
            <w:pPr>
              <w:numPr>
                <w:ilvl w:val="0"/>
                <w:numId w:val="6"/>
              </w:numPr>
              <w:ind w:left="342" w:hanging="368"/>
              <w:jc w:val="both"/>
              <w:rPr>
                <w:color w:val="000000"/>
                <w:sz w:val="22"/>
                <w:szCs w:val="22"/>
                <w:u w:val="single"/>
              </w:rPr>
            </w:pPr>
            <w:r w:rsidRPr="00887631">
              <w:rPr>
                <w:color w:val="000000"/>
                <w:sz w:val="22"/>
                <w:szCs w:val="22"/>
              </w:rPr>
              <w:t>Source rules for personal services</w:t>
            </w:r>
          </w:p>
          <w:p w:rsidR="00EE221A" w:rsidRDefault="007767F8" w:rsidP="00EE221A">
            <w:pPr>
              <w:numPr>
                <w:ilvl w:val="0"/>
                <w:numId w:val="6"/>
              </w:numPr>
              <w:ind w:left="342" w:hanging="368"/>
              <w:jc w:val="both"/>
              <w:rPr>
                <w:color w:val="000000"/>
                <w:sz w:val="22"/>
                <w:szCs w:val="22"/>
                <w:u w:val="single"/>
              </w:rPr>
            </w:pPr>
            <w:r w:rsidRPr="00887631">
              <w:rPr>
                <w:color w:val="000000"/>
                <w:sz w:val="22"/>
                <w:szCs w:val="22"/>
              </w:rPr>
              <w:t>Source rules for investment income, including Section 865</w:t>
            </w:r>
          </w:p>
          <w:p w:rsidR="007767F8" w:rsidRPr="00EE221A" w:rsidRDefault="007767F8" w:rsidP="00EE221A">
            <w:pPr>
              <w:numPr>
                <w:ilvl w:val="0"/>
                <w:numId w:val="6"/>
              </w:numPr>
              <w:ind w:left="342" w:hanging="368"/>
              <w:jc w:val="both"/>
              <w:rPr>
                <w:color w:val="000000"/>
                <w:sz w:val="22"/>
                <w:szCs w:val="22"/>
                <w:u w:val="single"/>
              </w:rPr>
            </w:pPr>
            <w:r w:rsidRPr="00EE221A">
              <w:rPr>
                <w:color w:val="000000"/>
                <w:sz w:val="22"/>
                <w:szCs w:val="22"/>
              </w:rPr>
              <w:t>Source rules for software income</w:t>
            </w:r>
          </w:p>
          <w:p w:rsidR="007767F8" w:rsidRDefault="00EE221A" w:rsidP="00EE221A">
            <w:pPr>
              <w:jc w:val="both"/>
              <w:rPr>
                <w:color w:val="000000"/>
                <w:sz w:val="22"/>
                <w:szCs w:val="22"/>
              </w:rPr>
            </w:pPr>
            <w:r>
              <w:rPr>
                <w:color w:val="000000"/>
                <w:sz w:val="22"/>
                <w:szCs w:val="22"/>
              </w:rPr>
              <w:t>Allocation of Expenses</w:t>
            </w:r>
          </w:p>
          <w:p w:rsidR="00EE221A" w:rsidRDefault="00EE221A" w:rsidP="00EE221A">
            <w:pPr>
              <w:numPr>
                <w:ilvl w:val="0"/>
                <w:numId w:val="6"/>
              </w:numPr>
              <w:ind w:left="342" w:hanging="368"/>
              <w:jc w:val="both"/>
              <w:rPr>
                <w:color w:val="000000"/>
                <w:sz w:val="22"/>
                <w:szCs w:val="22"/>
              </w:rPr>
            </w:pPr>
            <w:r w:rsidRPr="00EE221A">
              <w:rPr>
                <w:color w:val="000000"/>
                <w:sz w:val="22"/>
                <w:szCs w:val="22"/>
              </w:rPr>
              <w:t>Why allo</w:t>
            </w:r>
            <w:r>
              <w:rPr>
                <w:color w:val="000000"/>
                <w:sz w:val="22"/>
                <w:szCs w:val="22"/>
              </w:rPr>
              <w:t>cation of expenses is necessary in the cross-border context</w:t>
            </w:r>
          </w:p>
          <w:p w:rsidR="00FD0DC7" w:rsidRDefault="00FD0DC7" w:rsidP="00EE221A">
            <w:pPr>
              <w:numPr>
                <w:ilvl w:val="0"/>
                <w:numId w:val="6"/>
              </w:numPr>
              <w:ind w:left="342" w:hanging="368"/>
              <w:jc w:val="both"/>
              <w:rPr>
                <w:color w:val="000000"/>
                <w:sz w:val="22"/>
                <w:szCs w:val="22"/>
              </w:rPr>
            </w:pPr>
            <w:r>
              <w:rPr>
                <w:color w:val="000000"/>
                <w:sz w:val="22"/>
                <w:szCs w:val="22"/>
              </w:rPr>
              <w:t xml:space="preserve">Allocation process for General and </w:t>
            </w:r>
            <w:r>
              <w:rPr>
                <w:color w:val="000000"/>
                <w:sz w:val="22"/>
                <w:szCs w:val="22"/>
              </w:rPr>
              <w:lastRenderedPageBreak/>
              <w:t>Administrative expenses</w:t>
            </w:r>
          </w:p>
          <w:p w:rsidR="00EE221A" w:rsidRPr="00EE221A" w:rsidRDefault="00FD0DC7" w:rsidP="00FD0DC7">
            <w:pPr>
              <w:numPr>
                <w:ilvl w:val="0"/>
                <w:numId w:val="6"/>
              </w:numPr>
              <w:ind w:left="342" w:hanging="368"/>
              <w:jc w:val="both"/>
              <w:rPr>
                <w:color w:val="000000"/>
                <w:sz w:val="22"/>
                <w:szCs w:val="22"/>
              </w:rPr>
            </w:pPr>
            <w:r>
              <w:rPr>
                <w:color w:val="000000"/>
                <w:sz w:val="22"/>
                <w:szCs w:val="22"/>
              </w:rPr>
              <w:t>Allocation Formula for Interest Expense</w:t>
            </w:r>
          </w:p>
        </w:tc>
        <w:tc>
          <w:tcPr>
            <w:tcW w:w="4050" w:type="dxa"/>
          </w:tcPr>
          <w:p w:rsidR="007767F8" w:rsidRPr="00887631" w:rsidRDefault="007767F8" w:rsidP="001E30E5">
            <w:pPr>
              <w:pStyle w:val="Tabletext"/>
              <w:spacing w:before="0" w:after="120"/>
              <w:rPr>
                <w:sz w:val="22"/>
                <w:szCs w:val="22"/>
              </w:rPr>
            </w:pPr>
            <w:r w:rsidRPr="00887631">
              <w:rPr>
                <w:sz w:val="22"/>
                <w:szCs w:val="22"/>
              </w:rPr>
              <w:lastRenderedPageBreak/>
              <w:t>BNA - FOUNDATIONS Chapter I.H.1 – 1.H.7, I.H.9; Chapter VI. A-B</w:t>
            </w:r>
          </w:p>
          <w:p w:rsidR="007767F8" w:rsidRPr="00887631" w:rsidRDefault="007767F8" w:rsidP="007767F8">
            <w:pPr>
              <w:rPr>
                <w:sz w:val="22"/>
                <w:szCs w:val="22"/>
              </w:rPr>
            </w:pPr>
            <w:r w:rsidRPr="00887631">
              <w:rPr>
                <w:sz w:val="22"/>
                <w:szCs w:val="22"/>
              </w:rPr>
              <w:t>Nutshell, Chapter</w:t>
            </w:r>
            <w:r w:rsidR="00EE221A">
              <w:rPr>
                <w:sz w:val="22"/>
                <w:szCs w:val="22"/>
              </w:rPr>
              <w:t>s</w:t>
            </w:r>
            <w:r w:rsidRPr="00887631">
              <w:rPr>
                <w:sz w:val="22"/>
                <w:szCs w:val="22"/>
              </w:rPr>
              <w:t xml:space="preserve"> 3.01 and 3.02</w:t>
            </w:r>
          </w:p>
          <w:p w:rsidR="007767F8" w:rsidRPr="00887631" w:rsidRDefault="007767F8" w:rsidP="0073147D">
            <w:pPr>
              <w:rPr>
                <w:sz w:val="22"/>
                <w:szCs w:val="22"/>
              </w:rPr>
            </w:pPr>
            <w:r w:rsidRPr="00887631">
              <w:rPr>
                <w:sz w:val="22"/>
                <w:szCs w:val="22"/>
              </w:rPr>
              <w:t>IRC §§ 861(a); 862(a); 863(a), (b); 864(c)(5); 865</w:t>
            </w:r>
            <w:r w:rsidR="00EE221A">
              <w:rPr>
                <w:sz w:val="22"/>
                <w:szCs w:val="22"/>
              </w:rPr>
              <w:t>(a); 865(c); 865(d) and 865(e)</w:t>
            </w:r>
          </w:p>
          <w:p w:rsidR="007767F8" w:rsidRDefault="007767F8" w:rsidP="0073147D">
            <w:pPr>
              <w:rPr>
                <w:sz w:val="22"/>
                <w:szCs w:val="22"/>
              </w:rPr>
            </w:pPr>
            <w:r w:rsidRPr="00887631">
              <w:rPr>
                <w:sz w:val="22"/>
                <w:szCs w:val="22"/>
              </w:rPr>
              <w:t>Treas. Reg. §§ 1.861-2(a); 1.861-4(a), (b); 1.861-7(a), (c), (d);  1.861 18; 1.863-3(a) – (d); 1.864-6; 1.864-7</w:t>
            </w:r>
            <w:r w:rsidR="00EE221A">
              <w:rPr>
                <w:sz w:val="22"/>
                <w:szCs w:val="22"/>
              </w:rPr>
              <w:t>.</w:t>
            </w:r>
          </w:p>
          <w:p w:rsidR="00F639FB" w:rsidRPr="00887631" w:rsidRDefault="00F639FB" w:rsidP="0073147D">
            <w:pPr>
              <w:rPr>
                <w:sz w:val="22"/>
                <w:szCs w:val="22"/>
              </w:rPr>
            </w:pPr>
            <w:r>
              <w:rPr>
                <w:sz w:val="22"/>
                <w:szCs w:val="22"/>
              </w:rPr>
              <w:t>Treas. Reg. § 1.861-8</w:t>
            </w:r>
          </w:p>
          <w:p w:rsidR="007767F8" w:rsidRDefault="007767F8" w:rsidP="00677433">
            <w:pPr>
              <w:rPr>
                <w:sz w:val="22"/>
                <w:szCs w:val="22"/>
              </w:rPr>
            </w:pPr>
            <w:r w:rsidRPr="00887631">
              <w:rPr>
                <w:sz w:val="22"/>
                <w:szCs w:val="22"/>
                <w:u w:val="single"/>
              </w:rPr>
              <w:t>A.P. Green Export Co. v. United States</w:t>
            </w:r>
            <w:r w:rsidRPr="00887631">
              <w:rPr>
                <w:sz w:val="22"/>
                <w:szCs w:val="22"/>
              </w:rPr>
              <w:t>, 284 F.2d 383 (Ct. Cl. 1960) (edited version provided through course website)</w:t>
            </w:r>
          </w:p>
          <w:p w:rsidR="00F639FB" w:rsidRDefault="00F639FB" w:rsidP="00FD0DC7">
            <w:pPr>
              <w:rPr>
                <w:sz w:val="22"/>
                <w:szCs w:val="22"/>
              </w:rPr>
            </w:pPr>
            <w:r>
              <w:rPr>
                <w:sz w:val="22"/>
                <w:szCs w:val="22"/>
              </w:rPr>
              <w:t xml:space="preserve">IRS IPU Manual, “Overview of Interest Expense Allocation and Apportionment in </w:t>
            </w:r>
            <w:r>
              <w:rPr>
                <w:sz w:val="22"/>
                <w:szCs w:val="22"/>
              </w:rPr>
              <w:lastRenderedPageBreak/>
              <w:t>Calculation of the FTC Limitation” (December 2014)</w:t>
            </w:r>
          </w:p>
          <w:p w:rsidR="00B13A36" w:rsidRPr="00887631" w:rsidRDefault="00B13A36" w:rsidP="00FD0DC7">
            <w:pPr>
              <w:rPr>
                <w:sz w:val="22"/>
                <w:szCs w:val="22"/>
              </w:rPr>
            </w:pPr>
            <w:r>
              <w:rPr>
                <w:sz w:val="22"/>
                <w:szCs w:val="22"/>
              </w:rPr>
              <w:t>“Section 861 Home Office and Stewardship Expenses” (December 2014)</w:t>
            </w:r>
          </w:p>
        </w:tc>
        <w:tc>
          <w:tcPr>
            <w:tcW w:w="2880" w:type="dxa"/>
          </w:tcPr>
          <w:p w:rsidR="007767F8" w:rsidRDefault="00F639FB" w:rsidP="00F639FB">
            <w:pPr>
              <w:pStyle w:val="Tabletext"/>
              <w:spacing w:before="0" w:after="120"/>
              <w:rPr>
                <w:sz w:val="22"/>
                <w:szCs w:val="22"/>
              </w:rPr>
            </w:pPr>
            <w:r>
              <w:rPr>
                <w:sz w:val="22"/>
                <w:szCs w:val="22"/>
              </w:rPr>
              <w:lastRenderedPageBreak/>
              <w:t xml:space="preserve">IRS Form 1116, Part 1 </w:t>
            </w:r>
          </w:p>
          <w:p w:rsidR="00F639FB" w:rsidRPr="00F639FB" w:rsidRDefault="00F639FB" w:rsidP="00F639FB">
            <w:r>
              <w:t>IRS Form 1118, Schedules A, F and H</w:t>
            </w:r>
          </w:p>
        </w:tc>
        <w:tc>
          <w:tcPr>
            <w:tcW w:w="1350" w:type="dxa"/>
          </w:tcPr>
          <w:p w:rsidR="007767F8" w:rsidRPr="00887631" w:rsidRDefault="00FD0DC7" w:rsidP="001E30E5">
            <w:pPr>
              <w:pStyle w:val="Tabletext"/>
              <w:spacing w:before="0" w:after="120"/>
              <w:rPr>
                <w:sz w:val="22"/>
                <w:szCs w:val="22"/>
              </w:rPr>
            </w:pPr>
            <w:r w:rsidRPr="00887631">
              <w:rPr>
                <w:sz w:val="22"/>
                <w:szCs w:val="22"/>
              </w:rPr>
              <w:t>Assignment #1</w:t>
            </w:r>
          </w:p>
        </w:tc>
      </w:tr>
      <w:tr w:rsidR="00847A67" w:rsidRPr="00887631" w:rsidTr="0012204D">
        <w:tc>
          <w:tcPr>
            <w:tcW w:w="450" w:type="dxa"/>
          </w:tcPr>
          <w:p w:rsidR="00847A67" w:rsidRPr="00887631" w:rsidRDefault="00847A67" w:rsidP="00503E2E">
            <w:pPr>
              <w:pStyle w:val="Tabletext"/>
              <w:rPr>
                <w:sz w:val="22"/>
                <w:szCs w:val="22"/>
              </w:rPr>
            </w:pPr>
          </w:p>
        </w:tc>
        <w:tc>
          <w:tcPr>
            <w:tcW w:w="1170" w:type="dxa"/>
          </w:tcPr>
          <w:p w:rsidR="00847A67" w:rsidRDefault="00847A67" w:rsidP="003630C8">
            <w:pPr>
              <w:pStyle w:val="Tabletext"/>
              <w:jc w:val="center"/>
              <w:rPr>
                <w:sz w:val="22"/>
                <w:szCs w:val="22"/>
              </w:rPr>
            </w:pPr>
            <w:r>
              <w:rPr>
                <w:sz w:val="22"/>
                <w:szCs w:val="22"/>
              </w:rPr>
              <w:t>9/28</w:t>
            </w:r>
          </w:p>
        </w:tc>
        <w:tc>
          <w:tcPr>
            <w:tcW w:w="12150" w:type="dxa"/>
            <w:gridSpan w:val="4"/>
          </w:tcPr>
          <w:p w:rsidR="00847A67" w:rsidRPr="00887631" w:rsidRDefault="00847A67" w:rsidP="001E30E5">
            <w:pPr>
              <w:pStyle w:val="Tabletext"/>
              <w:spacing w:before="0" w:after="120"/>
              <w:rPr>
                <w:sz w:val="22"/>
                <w:szCs w:val="22"/>
              </w:rPr>
            </w:pPr>
            <w:r>
              <w:rPr>
                <w:sz w:val="22"/>
                <w:szCs w:val="22"/>
              </w:rPr>
              <w:t xml:space="preserve">No Class – next class is Monday </w:t>
            </w:r>
            <w:r w:rsidR="00BD486E">
              <w:rPr>
                <w:sz w:val="22"/>
                <w:szCs w:val="22"/>
              </w:rPr>
              <w:t>10/5</w:t>
            </w:r>
          </w:p>
        </w:tc>
      </w:tr>
      <w:tr w:rsidR="007767F8" w:rsidRPr="00887631" w:rsidTr="00887631">
        <w:tc>
          <w:tcPr>
            <w:tcW w:w="450" w:type="dxa"/>
          </w:tcPr>
          <w:p w:rsidR="007767F8" w:rsidRPr="00887631" w:rsidRDefault="007767F8" w:rsidP="00BA76F8">
            <w:pPr>
              <w:pStyle w:val="Tabletext"/>
              <w:keepNext/>
              <w:rPr>
                <w:sz w:val="22"/>
                <w:szCs w:val="22"/>
              </w:rPr>
            </w:pPr>
            <w:r w:rsidRPr="00887631">
              <w:rPr>
                <w:sz w:val="22"/>
                <w:szCs w:val="22"/>
              </w:rPr>
              <w:lastRenderedPageBreak/>
              <w:t>3</w:t>
            </w:r>
          </w:p>
          <w:p w:rsidR="007767F8" w:rsidRPr="00887631" w:rsidRDefault="007767F8" w:rsidP="00BA76F8">
            <w:pPr>
              <w:keepNext/>
              <w:rPr>
                <w:sz w:val="22"/>
                <w:szCs w:val="22"/>
              </w:rPr>
            </w:pPr>
          </w:p>
        </w:tc>
        <w:tc>
          <w:tcPr>
            <w:tcW w:w="1170" w:type="dxa"/>
          </w:tcPr>
          <w:p w:rsidR="007767F8" w:rsidRPr="00887631" w:rsidRDefault="00BD486E" w:rsidP="00BA76F8">
            <w:pPr>
              <w:pStyle w:val="Tabletext"/>
              <w:keepNext/>
              <w:jc w:val="center"/>
              <w:rPr>
                <w:sz w:val="22"/>
                <w:szCs w:val="22"/>
              </w:rPr>
            </w:pPr>
            <w:r>
              <w:rPr>
                <w:sz w:val="22"/>
                <w:szCs w:val="22"/>
              </w:rPr>
              <w:t>10/5</w:t>
            </w:r>
          </w:p>
        </w:tc>
        <w:tc>
          <w:tcPr>
            <w:tcW w:w="3870" w:type="dxa"/>
          </w:tcPr>
          <w:p w:rsidR="007767F8" w:rsidRPr="00887631" w:rsidRDefault="007767F8" w:rsidP="00BA76F8">
            <w:pPr>
              <w:pStyle w:val="Tabletext"/>
              <w:keepNext/>
              <w:spacing w:before="0" w:after="120"/>
              <w:rPr>
                <w:sz w:val="22"/>
                <w:szCs w:val="22"/>
              </w:rPr>
            </w:pPr>
            <w:r w:rsidRPr="00887631">
              <w:rPr>
                <w:sz w:val="22"/>
                <w:szCs w:val="22"/>
              </w:rPr>
              <w:t>Taxation of Foreign Taxpayers under the Code</w:t>
            </w:r>
          </w:p>
          <w:p w:rsidR="007767F8" w:rsidRPr="00887631" w:rsidRDefault="00BD486E" w:rsidP="00BA76F8">
            <w:pPr>
              <w:keepNext/>
              <w:numPr>
                <w:ilvl w:val="0"/>
                <w:numId w:val="6"/>
              </w:numPr>
              <w:rPr>
                <w:color w:val="000000"/>
                <w:sz w:val="22"/>
                <w:szCs w:val="22"/>
              </w:rPr>
            </w:pPr>
            <w:r>
              <w:rPr>
                <w:color w:val="000000"/>
                <w:sz w:val="22"/>
                <w:szCs w:val="22"/>
              </w:rPr>
              <w:t>Withholding tax on F</w:t>
            </w:r>
            <w:r w:rsidR="007767F8" w:rsidRPr="00887631">
              <w:rPr>
                <w:color w:val="000000"/>
                <w:sz w:val="22"/>
                <w:szCs w:val="22"/>
              </w:rPr>
              <w:t>oreign taxpayers earning U.S. source investment income</w:t>
            </w:r>
          </w:p>
          <w:p w:rsidR="007767F8" w:rsidRPr="00887631" w:rsidRDefault="007767F8" w:rsidP="00BA76F8">
            <w:pPr>
              <w:keepNext/>
              <w:ind w:left="784"/>
              <w:rPr>
                <w:color w:val="000000"/>
                <w:sz w:val="22"/>
                <w:szCs w:val="22"/>
              </w:rPr>
            </w:pPr>
            <w:r w:rsidRPr="00887631">
              <w:rPr>
                <w:color w:val="000000"/>
                <w:sz w:val="22"/>
                <w:szCs w:val="22"/>
              </w:rPr>
              <w:t xml:space="preserve">-Basis of </w:t>
            </w:r>
            <w:r w:rsidR="00BD486E">
              <w:rPr>
                <w:color w:val="000000"/>
                <w:sz w:val="22"/>
                <w:szCs w:val="22"/>
              </w:rPr>
              <w:t xml:space="preserve">US FDAP withholding </w:t>
            </w:r>
            <w:r w:rsidRPr="00887631">
              <w:rPr>
                <w:color w:val="000000"/>
                <w:sz w:val="22"/>
                <w:szCs w:val="22"/>
              </w:rPr>
              <w:t>taxation</w:t>
            </w:r>
          </w:p>
          <w:p w:rsidR="007767F8" w:rsidRDefault="007767F8" w:rsidP="00BA76F8">
            <w:pPr>
              <w:keepNext/>
              <w:ind w:left="784"/>
              <w:rPr>
                <w:color w:val="000000"/>
                <w:sz w:val="22"/>
                <w:szCs w:val="22"/>
              </w:rPr>
            </w:pPr>
            <w:r w:rsidRPr="00887631">
              <w:rPr>
                <w:color w:val="000000"/>
                <w:sz w:val="22"/>
                <w:szCs w:val="22"/>
              </w:rPr>
              <w:t>-Withholding mechanics</w:t>
            </w:r>
          </w:p>
          <w:p w:rsidR="00BD486E" w:rsidRPr="00887631" w:rsidRDefault="00BD486E" w:rsidP="00BD486E">
            <w:pPr>
              <w:keepNext/>
              <w:rPr>
                <w:color w:val="000000"/>
                <w:sz w:val="22"/>
                <w:szCs w:val="22"/>
              </w:rPr>
            </w:pPr>
          </w:p>
          <w:p w:rsidR="007767F8" w:rsidRPr="00887631" w:rsidRDefault="007767F8" w:rsidP="00BA76F8">
            <w:pPr>
              <w:keepNext/>
              <w:numPr>
                <w:ilvl w:val="0"/>
                <w:numId w:val="6"/>
              </w:numPr>
              <w:rPr>
                <w:color w:val="000000"/>
                <w:sz w:val="22"/>
                <w:szCs w:val="22"/>
              </w:rPr>
            </w:pPr>
            <w:r w:rsidRPr="00887631">
              <w:rPr>
                <w:color w:val="000000"/>
                <w:sz w:val="22"/>
                <w:szCs w:val="22"/>
              </w:rPr>
              <w:t>Taxation of foreign taxpayers engaged in a U.S. business</w:t>
            </w:r>
          </w:p>
          <w:p w:rsidR="007767F8" w:rsidRPr="00887631" w:rsidRDefault="007767F8" w:rsidP="00BA76F8">
            <w:pPr>
              <w:keepNext/>
              <w:ind w:left="784"/>
              <w:rPr>
                <w:color w:val="000000"/>
                <w:sz w:val="22"/>
                <w:szCs w:val="22"/>
              </w:rPr>
            </w:pPr>
            <w:r w:rsidRPr="00887631">
              <w:rPr>
                <w:color w:val="000000"/>
                <w:sz w:val="22"/>
                <w:szCs w:val="22"/>
              </w:rPr>
              <w:t>-Basis of taxation (Sec. 871(b), 882).</w:t>
            </w:r>
          </w:p>
          <w:p w:rsidR="007767F8" w:rsidRPr="00887631" w:rsidRDefault="007767F8" w:rsidP="00BA76F8">
            <w:pPr>
              <w:keepNext/>
              <w:ind w:left="784"/>
              <w:rPr>
                <w:color w:val="000000"/>
                <w:sz w:val="22"/>
                <w:szCs w:val="22"/>
              </w:rPr>
            </w:pPr>
            <w:r w:rsidRPr="00887631">
              <w:rPr>
                <w:color w:val="000000"/>
                <w:sz w:val="22"/>
                <w:szCs w:val="22"/>
              </w:rPr>
              <w:t>-Definition of US trade or business</w:t>
            </w:r>
          </w:p>
          <w:p w:rsidR="007767F8" w:rsidRPr="00887631" w:rsidRDefault="007767F8" w:rsidP="00BA76F8">
            <w:pPr>
              <w:keepNext/>
              <w:ind w:left="784"/>
              <w:rPr>
                <w:color w:val="000000"/>
                <w:sz w:val="22"/>
                <w:szCs w:val="22"/>
              </w:rPr>
            </w:pPr>
            <w:r w:rsidRPr="00887631">
              <w:rPr>
                <w:color w:val="000000"/>
                <w:sz w:val="22"/>
                <w:szCs w:val="22"/>
              </w:rPr>
              <w:t>-Section 864 – categories of Effectively Connected Income</w:t>
            </w:r>
          </w:p>
          <w:p w:rsidR="007767F8" w:rsidRPr="00BA76F8" w:rsidRDefault="007767F8" w:rsidP="00BA76F8">
            <w:pPr>
              <w:keepNext/>
              <w:numPr>
                <w:ilvl w:val="0"/>
                <w:numId w:val="6"/>
              </w:numPr>
              <w:rPr>
                <w:color w:val="000000"/>
                <w:sz w:val="22"/>
                <w:szCs w:val="22"/>
              </w:rPr>
            </w:pPr>
            <w:r w:rsidRPr="00887631">
              <w:rPr>
                <w:color w:val="000000"/>
                <w:sz w:val="22"/>
                <w:szCs w:val="22"/>
              </w:rPr>
              <w:t>Basics of FIRPTA</w:t>
            </w:r>
            <w:r w:rsidR="00BD486E">
              <w:rPr>
                <w:color w:val="000000"/>
                <w:sz w:val="22"/>
                <w:szCs w:val="22"/>
              </w:rPr>
              <w:t xml:space="preserve"> Withholding and When it Applies</w:t>
            </w:r>
          </w:p>
        </w:tc>
        <w:tc>
          <w:tcPr>
            <w:tcW w:w="4050" w:type="dxa"/>
          </w:tcPr>
          <w:p w:rsidR="007767F8" w:rsidRPr="00887631" w:rsidRDefault="007767F8" w:rsidP="00CB13A9">
            <w:pPr>
              <w:pStyle w:val="Tabletext"/>
              <w:spacing w:before="0" w:after="120"/>
              <w:rPr>
                <w:sz w:val="22"/>
                <w:szCs w:val="22"/>
              </w:rPr>
            </w:pPr>
            <w:r w:rsidRPr="00887631">
              <w:rPr>
                <w:sz w:val="22"/>
                <w:szCs w:val="22"/>
              </w:rPr>
              <w:t>BNA - FOUNDATIONS – Chapter II</w:t>
            </w:r>
          </w:p>
          <w:p w:rsidR="007767F8" w:rsidRPr="00887631" w:rsidRDefault="007767F8" w:rsidP="00BD486E">
            <w:pPr>
              <w:rPr>
                <w:sz w:val="22"/>
                <w:szCs w:val="22"/>
              </w:rPr>
            </w:pPr>
            <w:r w:rsidRPr="00887631">
              <w:rPr>
                <w:sz w:val="22"/>
                <w:szCs w:val="22"/>
              </w:rPr>
              <w:t>Nutshell, Sections 4.01-4.04 and 4.06, and Sections 6.01 – 6.04</w:t>
            </w:r>
          </w:p>
          <w:p w:rsidR="007767F8" w:rsidRPr="00887631" w:rsidRDefault="007767F8" w:rsidP="00CB13A9">
            <w:pPr>
              <w:rPr>
                <w:sz w:val="22"/>
                <w:szCs w:val="22"/>
              </w:rPr>
            </w:pPr>
            <w:r w:rsidRPr="00887631">
              <w:rPr>
                <w:sz w:val="22"/>
                <w:szCs w:val="22"/>
              </w:rPr>
              <w:t>IRC 871(a), (h), (i); 881(a), (c), (d); 1441(a), (b), (c)(1), (c)(8) – (10); 1442(a), (b); 1461.</w:t>
            </w:r>
          </w:p>
          <w:p w:rsidR="007767F8" w:rsidRPr="00887631" w:rsidRDefault="007767F8" w:rsidP="00CB13A9">
            <w:pPr>
              <w:pBdr>
                <w:bottom w:val="single" w:sz="6" w:space="1" w:color="auto"/>
              </w:pBdr>
              <w:rPr>
                <w:sz w:val="22"/>
                <w:szCs w:val="22"/>
              </w:rPr>
            </w:pPr>
            <w:r w:rsidRPr="00887631">
              <w:rPr>
                <w:sz w:val="22"/>
                <w:szCs w:val="22"/>
              </w:rPr>
              <w:t>Treas. Regs. §§ 1.871-7(a) – (c); 1.871-14(a) – (c).</w:t>
            </w:r>
          </w:p>
          <w:p w:rsidR="007767F8" w:rsidRPr="00887631" w:rsidRDefault="007767F8" w:rsidP="00CB13A9">
            <w:pPr>
              <w:rPr>
                <w:sz w:val="22"/>
                <w:szCs w:val="22"/>
              </w:rPr>
            </w:pPr>
            <w:r w:rsidRPr="00887631">
              <w:rPr>
                <w:sz w:val="22"/>
                <w:szCs w:val="22"/>
              </w:rPr>
              <w:t xml:space="preserve">IRC 864(b) and 864(c); </w:t>
            </w:r>
            <w:r w:rsidR="00135473">
              <w:rPr>
                <w:sz w:val="22"/>
                <w:szCs w:val="22"/>
              </w:rPr>
              <w:t xml:space="preserve">865(e)(2); </w:t>
            </w:r>
            <w:r w:rsidRPr="00887631">
              <w:rPr>
                <w:sz w:val="22"/>
                <w:szCs w:val="22"/>
              </w:rPr>
              <w:t>871(b); 882(a) and 882(c).</w:t>
            </w:r>
          </w:p>
          <w:p w:rsidR="00135473" w:rsidRDefault="00135473" w:rsidP="00CB13A9">
            <w:pPr>
              <w:rPr>
                <w:sz w:val="22"/>
                <w:szCs w:val="22"/>
              </w:rPr>
            </w:pPr>
            <w:r>
              <w:rPr>
                <w:sz w:val="22"/>
                <w:szCs w:val="22"/>
              </w:rPr>
              <w:t xml:space="preserve">Treas. Reg. § </w:t>
            </w:r>
            <w:r w:rsidR="007767F8" w:rsidRPr="00887631">
              <w:rPr>
                <w:sz w:val="22"/>
                <w:szCs w:val="22"/>
              </w:rPr>
              <w:t>1.864-2</w:t>
            </w:r>
            <w:r>
              <w:rPr>
                <w:sz w:val="22"/>
                <w:szCs w:val="22"/>
              </w:rPr>
              <w:t>.</w:t>
            </w:r>
          </w:p>
          <w:p w:rsidR="007767F8" w:rsidRDefault="00135473" w:rsidP="00CB13A9">
            <w:pPr>
              <w:rPr>
                <w:sz w:val="22"/>
                <w:szCs w:val="22"/>
              </w:rPr>
            </w:pPr>
            <w:r>
              <w:rPr>
                <w:i/>
                <w:sz w:val="22"/>
                <w:szCs w:val="22"/>
              </w:rPr>
              <w:t>De Amodio v. Commissioner</w:t>
            </w:r>
            <w:r>
              <w:rPr>
                <w:sz w:val="22"/>
                <w:szCs w:val="22"/>
              </w:rPr>
              <w:t>, 34 T.C. 894 (1960)</w:t>
            </w:r>
            <w:r w:rsidR="007767F8" w:rsidRPr="00887631">
              <w:rPr>
                <w:sz w:val="22"/>
                <w:szCs w:val="22"/>
              </w:rPr>
              <w:t xml:space="preserve"> </w:t>
            </w:r>
          </w:p>
          <w:p w:rsidR="00135473" w:rsidRPr="00135473" w:rsidRDefault="00135473" w:rsidP="00CB13A9">
            <w:pPr>
              <w:rPr>
                <w:sz w:val="22"/>
                <w:szCs w:val="22"/>
              </w:rPr>
            </w:pPr>
            <w:r>
              <w:rPr>
                <w:i/>
                <w:sz w:val="22"/>
                <w:szCs w:val="22"/>
              </w:rPr>
              <w:t>Lewenhaupt v. Commissioner</w:t>
            </w:r>
            <w:r>
              <w:rPr>
                <w:sz w:val="22"/>
                <w:szCs w:val="22"/>
              </w:rPr>
              <w:t>, 20 T.C. 151 (1953)</w:t>
            </w:r>
          </w:p>
          <w:p w:rsidR="00BD486E" w:rsidRDefault="00BD486E" w:rsidP="00CB13A9">
            <w:pPr>
              <w:pBdr>
                <w:top w:val="single" w:sz="6" w:space="1" w:color="auto"/>
                <w:bottom w:val="single" w:sz="6" w:space="1" w:color="auto"/>
              </w:pBdr>
              <w:rPr>
                <w:sz w:val="22"/>
                <w:szCs w:val="22"/>
              </w:rPr>
            </w:pPr>
            <w:r>
              <w:rPr>
                <w:sz w:val="22"/>
                <w:szCs w:val="22"/>
              </w:rPr>
              <w:t>IRC 897</w:t>
            </w:r>
            <w:r w:rsidR="00940974">
              <w:rPr>
                <w:sz w:val="22"/>
                <w:szCs w:val="22"/>
              </w:rPr>
              <w:t>(a) and 897(c); 1445(a) and 1445(b)</w:t>
            </w:r>
          </w:p>
          <w:p w:rsidR="00B13A36" w:rsidRDefault="00B13A36" w:rsidP="00CB13A9">
            <w:pPr>
              <w:rPr>
                <w:sz w:val="22"/>
                <w:szCs w:val="22"/>
              </w:rPr>
            </w:pPr>
            <w:r>
              <w:rPr>
                <w:sz w:val="22"/>
                <w:szCs w:val="22"/>
              </w:rPr>
              <w:t>IRS IPU Manuals, “Overview of FDAP” (December 2014)</w:t>
            </w:r>
          </w:p>
          <w:p w:rsidR="00B13A36" w:rsidRPr="00887631" w:rsidRDefault="00B13A36" w:rsidP="00CB13A9">
            <w:pPr>
              <w:rPr>
                <w:sz w:val="22"/>
                <w:szCs w:val="22"/>
              </w:rPr>
            </w:pPr>
            <w:r>
              <w:rPr>
                <w:sz w:val="22"/>
                <w:szCs w:val="22"/>
              </w:rPr>
              <w:t>“Effectively Connected Income (ECI)” (December 2014)</w:t>
            </w:r>
          </w:p>
          <w:p w:rsidR="007767F8" w:rsidRPr="00887631" w:rsidRDefault="007767F8" w:rsidP="00CB13A9">
            <w:pPr>
              <w:rPr>
                <w:sz w:val="22"/>
                <w:szCs w:val="22"/>
              </w:rPr>
            </w:pPr>
          </w:p>
        </w:tc>
        <w:tc>
          <w:tcPr>
            <w:tcW w:w="2880" w:type="dxa"/>
          </w:tcPr>
          <w:p w:rsidR="007767F8" w:rsidRDefault="00BD486E" w:rsidP="00CB13A9">
            <w:pPr>
              <w:pStyle w:val="Tabletext"/>
              <w:spacing w:before="0" w:after="120"/>
              <w:rPr>
                <w:sz w:val="22"/>
                <w:szCs w:val="22"/>
              </w:rPr>
            </w:pPr>
            <w:r w:rsidRPr="00887631">
              <w:rPr>
                <w:sz w:val="22"/>
                <w:szCs w:val="22"/>
              </w:rPr>
              <w:t xml:space="preserve">IRS – NRA - </w:t>
            </w:r>
            <w:hyperlink r:id="rId14" w:history="1">
              <w:r w:rsidRPr="00887631">
                <w:rPr>
                  <w:rStyle w:val="Hyperlink"/>
                  <w:sz w:val="22"/>
                  <w:szCs w:val="22"/>
                </w:rPr>
                <w:t>http://www.irs.gov/Individuals/Internationa</w:t>
              </w:r>
              <w:r w:rsidRPr="00887631">
                <w:rPr>
                  <w:rStyle w:val="Hyperlink"/>
                  <w:sz w:val="22"/>
                  <w:szCs w:val="22"/>
                </w:rPr>
                <w:t>l</w:t>
              </w:r>
              <w:r w:rsidRPr="00887631">
                <w:rPr>
                  <w:rStyle w:val="Hyperlink"/>
                  <w:sz w:val="22"/>
                  <w:szCs w:val="22"/>
                </w:rPr>
                <w:t>-</w:t>
              </w:r>
              <w:r w:rsidRPr="00887631">
                <w:rPr>
                  <w:rStyle w:val="Hyperlink"/>
                  <w:sz w:val="22"/>
                  <w:szCs w:val="22"/>
                </w:rPr>
                <w:t>Taxpayers/Taxation-of-Nonresident-Aliens</w:t>
              </w:r>
            </w:hyperlink>
          </w:p>
          <w:p w:rsidR="00B13A36" w:rsidRDefault="00B13A36" w:rsidP="00B13A36">
            <w:r>
              <w:t>Form 1120F</w:t>
            </w:r>
          </w:p>
          <w:p w:rsidR="00B13A36" w:rsidRDefault="00B13A36" w:rsidP="00B13A36">
            <w:r>
              <w:t>Form W-8BEN and Form W-8BEN-E (skim Form W-8BEN-E)</w:t>
            </w:r>
          </w:p>
          <w:p w:rsidR="00185192" w:rsidRDefault="00185192" w:rsidP="00B13A36">
            <w:r>
              <w:t>Form W-8ECI</w:t>
            </w:r>
          </w:p>
          <w:p w:rsidR="00185192" w:rsidRDefault="00185192" w:rsidP="00B13A36">
            <w:r>
              <w:t>Form 1042</w:t>
            </w:r>
          </w:p>
          <w:p w:rsidR="00B13A36" w:rsidRPr="00B13A36" w:rsidRDefault="00B13A36" w:rsidP="00B13A36"/>
        </w:tc>
        <w:tc>
          <w:tcPr>
            <w:tcW w:w="1350" w:type="dxa"/>
          </w:tcPr>
          <w:p w:rsidR="007767F8" w:rsidRPr="00887631" w:rsidRDefault="003C70F3" w:rsidP="00CB13A9">
            <w:pPr>
              <w:pStyle w:val="Tabletext"/>
              <w:spacing w:before="0" w:after="120"/>
              <w:rPr>
                <w:sz w:val="22"/>
                <w:szCs w:val="22"/>
              </w:rPr>
            </w:pPr>
            <w:r>
              <w:rPr>
                <w:sz w:val="22"/>
                <w:szCs w:val="22"/>
              </w:rPr>
              <w:t>Assignment #2 – Source of Income Handout Problems</w:t>
            </w:r>
          </w:p>
        </w:tc>
      </w:tr>
      <w:tr w:rsidR="007767F8" w:rsidRPr="00887631" w:rsidTr="00887631">
        <w:tc>
          <w:tcPr>
            <w:tcW w:w="450" w:type="dxa"/>
          </w:tcPr>
          <w:p w:rsidR="007767F8" w:rsidRPr="00887631" w:rsidRDefault="007767F8" w:rsidP="00BA76F8">
            <w:pPr>
              <w:pStyle w:val="Tabletext"/>
              <w:keepNext/>
              <w:rPr>
                <w:sz w:val="22"/>
                <w:szCs w:val="22"/>
              </w:rPr>
            </w:pPr>
            <w:r w:rsidRPr="00887631">
              <w:rPr>
                <w:sz w:val="22"/>
                <w:szCs w:val="22"/>
              </w:rPr>
              <w:t>4</w:t>
            </w:r>
          </w:p>
          <w:p w:rsidR="007767F8" w:rsidRPr="00887631" w:rsidRDefault="007767F8" w:rsidP="00BA76F8">
            <w:pPr>
              <w:keepNext/>
              <w:rPr>
                <w:sz w:val="22"/>
                <w:szCs w:val="22"/>
              </w:rPr>
            </w:pPr>
          </w:p>
        </w:tc>
        <w:tc>
          <w:tcPr>
            <w:tcW w:w="1170" w:type="dxa"/>
          </w:tcPr>
          <w:p w:rsidR="007767F8" w:rsidRPr="00887631" w:rsidRDefault="007767F8" w:rsidP="00BD486E">
            <w:pPr>
              <w:pStyle w:val="Tabletext"/>
              <w:keepNext/>
              <w:jc w:val="center"/>
              <w:rPr>
                <w:sz w:val="22"/>
                <w:szCs w:val="22"/>
              </w:rPr>
            </w:pPr>
            <w:r w:rsidRPr="00887631">
              <w:rPr>
                <w:sz w:val="22"/>
                <w:szCs w:val="22"/>
              </w:rPr>
              <w:t>10/1</w:t>
            </w:r>
            <w:r w:rsidR="00BD486E">
              <w:rPr>
                <w:sz w:val="22"/>
                <w:szCs w:val="22"/>
              </w:rPr>
              <w:t>2</w:t>
            </w:r>
          </w:p>
        </w:tc>
        <w:tc>
          <w:tcPr>
            <w:tcW w:w="3870" w:type="dxa"/>
          </w:tcPr>
          <w:p w:rsidR="007767F8" w:rsidRPr="00887631" w:rsidRDefault="007767F8" w:rsidP="00BA76F8">
            <w:pPr>
              <w:pStyle w:val="Tabletext"/>
              <w:keepNext/>
              <w:spacing w:before="0" w:after="120"/>
              <w:rPr>
                <w:sz w:val="22"/>
                <w:szCs w:val="22"/>
              </w:rPr>
            </w:pPr>
            <w:r w:rsidRPr="00887631">
              <w:rPr>
                <w:sz w:val="22"/>
                <w:szCs w:val="22"/>
              </w:rPr>
              <w:t>Impact of Tax Treaties</w:t>
            </w:r>
          </w:p>
          <w:p w:rsidR="007767F8" w:rsidRPr="00887631" w:rsidRDefault="007767F8" w:rsidP="00BA76F8">
            <w:pPr>
              <w:keepNext/>
              <w:numPr>
                <w:ilvl w:val="0"/>
                <w:numId w:val="9"/>
              </w:numPr>
              <w:rPr>
                <w:color w:val="000000"/>
                <w:sz w:val="22"/>
                <w:szCs w:val="22"/>
              </w:rPr>
            </w:pPr>
            <w:r w:rsidRPr="00887631">
              <w:rPr>
                <w:color w:val="000000"/>
                <w:sz w:val="22"/>
                <w:szCs w:val="22"/>
              </w:rPr>
              <w:t xml:space="preserve">What is a Tax Treaty, and who is generally entitled to claim treaty benefits </w:t>
            </w:r>
          </w:p>
          <w:p w:rsidR="007767F8" w:rsidRPr="00887631" w:rsidRDefault="007767F8" w:rsidP="00BA76F8">
            <w:pPr>
              <w:keepNext/>
              <w:numPr>
                <w:ilvl w:val="0"/>
                <w:numId w:val="9"/>
              </w:numPr>
              <w:rPr>
                <w:color w:val="000000"/>
                <w:sz w:val="22"/>
                <w:szCs w:val="22"/>
              </w:rPr>
            </w:pPr>
            <w:r w:rsidRPr="00887631">
              <w:rPr>
                <w:color w:val="000000"/>
                <w:sz w:val="22"/>
                <w:szCs w:val="22"/>
              </w:rPr>
              <w:t xml:space="preserve">Impact of treaties on investment income </w:t>
            </w:r>
          </w:p>
          <w:p w:rsidR="007767F8" w:rsidRPr="00887631" w:rsidRDefault="007767F8" w:rsidP="00BA76F8">
            <w:pPr>
              <w:keepNext/>
              <w:numPr>
                <w:ilvl w:val="0"/>
                <w:numId w:val="9"/>
              </w:numPr>
              <w:rPr>
                <w:color w:val="000000"/>
                <w:sz w:val="22"/>
                <w:szCs w:val="22"/>
              </w:rPr>
            </w:pPr>
            <w:r w:rsidRPr="00887631">
              <w:rPr>
                <w:color w:val="000000"/>
                <w:sz w:val="22"/>
                <w:szCs w:val="22"/>
              </w:rPr>
              <w:t xml:space="preserve">Impact of treaties on business income </w:t>
            </w:r>
          </w:p>
          <w:p w:rsidR="007767F8" w:rsidRPr="00887631" w:rsidRDefault="007767F8" w:rsidP="00BA76F8">
            <w:pPr>
              <w:keepNext/>
              <w:numPr>
                <w:ilvl w:val="1"/>
                <w:numId w:val="9"/>
              </w:numPr>
              <w:rPr>
                <w:color w:val="000000"/>
                <w:sz w:val="22"/>
                <w:szCs w:val="22"/>
              </w:rPr>
            </w:pPr>
            <w:r w:rsidRPr="00887631">
              <w:rPr>
                <w:color w:val="000000"/>
                <w:sz w:val="22"/>
                <w:szCs w:val="22"/>
              </w:rPr>
              <w:t xml:space="preserve">Definition of Permanent establishment </w:t>
            </w:r>
          </w:p>
          <w:p w:rsidR="007767F8" w:rsidRDefault="007767F8" w:rsidP="00BA76F8">
            <w:pPr>
              <w:keepNext/>
              <w:numPr>
                <w:ilvl w:val="1"/>
                <w:numId w:val="9"/>
              </w:numPr>
              <w:rPr>
                <w:color w:val="000000"/>
                <w:sz w:val="22"/>
                <w:szCs w:val="22"/>
              </w:rPr>
            </w:pPr>
            <w:r w:rsidRPr="00887631">
              <w:rPr>
                <w:color w:val="000000"/>
                <w:sz w:val="22"/>
                <w:szCs w:val="22"/>
              </w:rPr>
              <w:lastRenderedPageBreak/>
              <w:t xml:space="preserve">How profits attributable to a Permanent Establishment are taxed </w:t>
            </w:r>
          </w:p>
          <w:p w:rsidR="003C70F3" w:rsidRPr="00887631" w:rsidRDefault="00E10A67" w:rsidP="00E10A67">
            <w:pPr>
              <w:keepNext/>
              <w:numPr>
                <w:ilvl w:val="0"/>
                <w:numId w:val="9"/>
              </w:numPr>
              <w:rPr>
                <w:color w:val="000000"/>
                <w:sz w:val="22"/>
                <w:szCs w:val="22"/>
              </w:rPr>
            </w:pPr>
            <w:r>
              <w:rPr>
                <w:color w:val="000000"/>
                <w:sz w:val="22"/>
                <w:szCs w:val="22"/>
              </w:rPr>
              <w:t>R</w:t>
            </w:r>
            <w:r w:rsidR="003C70F3">
              <w:rPr>
                <w:color w:val="000000"/>
                <w:sz w:val="22"/>
                <w:szCs w:val="22"/>
              </w:rPr>
              <w:t xml:space="preserve">eview </w:t>
            </w:r>
            <w:r>
              <w:rPr>
                <w:color w:val="000000"/>
                <w:sz w:val="22"/>
                <w:szCs w:val="22"/>
              </w:rPr>
              <w:t>material covered so far (please bring your questions).</w:t>
            </w:r>
          </w:p>
        </w:tc>
        <w:tc>
          <w:tcPr>
            <w:tcW w:w="4050" w:type="dxa"/>
          </w:tcPr>
          <w:p w:rsidR="007767F8" w:rsidRPr="00887631" w:rsidRDefault="007767F8" w:rsidP="00BA76F8">
            <w:pPr>
              <w:pStyle w:val="Tabletext"/>
              <w:keepNext/>
              <w:spacing w:before="0" w:after="120"/>
              <w:rPr>
                <w:sz w:val="22"/>
                <w:szCs w:val="22"/>
              </w:rPr>
            </w:pPr>
            <w:r w:rsidRPr="00887631">
              <w:rPr>
                <w:sz w:val="22"/>
                <w:szCs w:val="22"/>
              </w:rPr>
              <w:lastRenderedPageBreak/>
              <w:t>BNA - FOUNDATIONS, chapter V</w:t>
            </w:r>
          </w:p>
          <w:p w:rsidR="007767F8" w:rsidRPr="00887631" w:rsidRDefault="007767F8" w:rsidP="00BA76F8">
            <w:pPr>
              <w:keepNext/>
              <w:rPr>
                <w:sz w:val="22"/>
                <w:szCs w:val="22"/>
              </w:rPr>
            </w:pPr>
            <w:r w:rsidRPr="00887631">
              <w:rPr>
                <w:sz w:val="22"/>
                <w:szCs w:val="22"/>
              </w:rPr>
              <w:t>Nutshell, Chapter 5</w:t>
            </w:r>
          </w:p>
          <w:p w:rsidR="003C70F3" w:rsidRDefault="00185192" w:rsidP="00BA76F8">
            <w:pPr>
              <w:keepNext/>
              <w:rPr>
                <w:sz w:val="22"/>
                <w:szCs w:val="22"/>
              </w:rPr>
            </w:pPr>
            <w:r>
              <w:rPr>
                <w:sz w:val="22"/>
                <w:szCs w:val="22"/>
              </w:rPr>
              <w:t xml:space="preserve">2006 US Model Income Tax Treaty and Technical Explanation, in particular focus on </w:t>
            </w:r>
            <w:r w:rsidR="003C70F3">
              <w:rPr>
                <w:sz w:val="22"/>
                <w:szCs w:val="22"/>
              </w:rPr>
              <w:t>the following articles:</w:t>
            </w:r>
          </w:p>
          <w:p w:rsidR="003C70F3" w:rsidRDefault="003C70F3" w:rsidP="00BA76F8">
            <w:pPr>
              <w:keepNext/>
              <w:rPr>
                <w:sz w:val="22"/>
                <w:szCs w:val="22"/>
              </w:rPr>
            </w:pPr>
            <w:r>
              <w:rPr>
                <w:sz w:val="22"/>
                <w:szCs w:val="22"/>
              </w:rPr>
              <w:t xml:space="preserve">  -Article</w:t>
            </w:r>
            <w:r w:rsidR="00185192">
              <w:rPr>
                <w:sz w:val="22"/>
                <w:szCs w:val="22"/>
              </w:rPr>
              <w:t xml:space="preserve"> 4 (Resident); </w:t>
            </w:r>
          </w:p>
          <w:p w:rsidR="007767F8" w:rsidRDefault="003C70F3" w:rsidP="00BA76F8">
            <w:pPr>
              <w:keepNext/>
              <w:rPr>
                <w:sz w:val="22"/>
                <w:szCs w:val="22"/>
              </w:rPr>
            </w:pPr>
            <w:r>
              <w:rPr>
                <w:sz w:val="22"/>
                <w:szCs w:val="22"/>
              </w:rPr>
              <w:t xml:space="preserve">  -</w:t>
            </w:r>
            <w:r w:rsidR="00185192">
              <w:rPr>
                <w:sz w:val="22"/>
                <w:szCs w:val="22"/>
              </w:rPr>
              <w:t xml:space="preserve">Articles 5 and 7 (Permanent Establishment and Attribution of Profits); </w:t>
            </w:r>
          </w:p>
          <w:p w:rsidR="003C70F3" w:rsidRDefault="003C70F3" w:rsidP="00BA76F8">
            <w:pPr>
              <w:keepNext/>
              <w:rPr>
                <w:sz w:val="22"/>
                <w:szCs w:val="22"/>
              </w:rPr>
            </w:pPr>
            <w:r>
              <w:rPr>
                <w:sz w:val="22"/>
                <w:szCs w:val="22"/>
              </w:rPr>
              <w:t xml:space="preserve">  -Articles 10 – 12 (taxation of dividends, interest and royalties)</w:t>
            </w:r>
          </w:p>
          <w:p w:rsidR="003C70F3" w:rsidRDefault="003C70F3" w:rsidP="00BA76F8">
            <w:pPr>
              <w:keepNext/>
              <w:rPr>
                <w:sz w:val="22"/>
                <w:szCs w:val="22"/>
              </w:rPr>
            </w:pPr>
            <w:r>
              <w:rPr>
                <w:sz w:val="22"/>
                <w:szCs w:val="22"/>
              </w:rPr>
              <w:lastRenderedPageBreak/>
              <w:t xml:space="preserve">  -Article 13(6) (gains)</w:t>
            </w:r>
          </w:p>
          <w:p w:rsidR="003C70F3" w:rsidRDefault="003C70F3" w:rsidP="00BA76F8">
            <w:pPr>
              <w:keepNext/>
              <w:rPr>
                <w:sz w:val="22"/>
                <w:szCs w:val="22"/>
              </w:rPr>
            </w:pPr>
            <w:r>
              <w:rPr>
                <w:sz w:val="22"/>
                <w:szCs w:val="22"/>
              </w:rPr>
              <w:t xml:space="preserve">  -Article 14 (Employee income)</w:t>
            </w:r>
          </w:p>
          <w:p w:rsidR="003C70F3" w:rsidRDefault="003C70F3" w:rsidP="00BA76F8">
            <w:pPr>
              <w:keepNext/>
              <w:rPr>
                <w:sz w:val="22"/>
                <w:szCs w:val="22"/>
              </w:rPr>
            </w:pPr>
            <w:r>
              <w:rPr>
                <w:sz w:val="22"/>
                <w:szCs w:val="22"/>
              </w:rPr>
              <w:t xml:space="preserve">  -Article 22 (Limitation on Benefits)</w:t>
            </w:r>
          </w:p>
          <w:p w:rsidR="003C70F3" w:rsidRPr="00887631" w:rsidRDefault="003C70F3" w:rsidP="00BA76F8">
            <w:pPr>
              <w:keepNext/>
              <w:rPr>
                <w:sz w:val="22"/>
                <w:szCs w:val="22"/>
              </w:rPr>
            </w:pPr>
            <w:r>
              <w:rPr>
                <w:sz w:val="22"/>
                <w:szCs w:val="22"/>
              </w:rPr>
              <w:t xml:space="preserve">  -Article 23 (Relief from Double Taxation)</w:t>
            </w:r>
          </w:p>
          <w:p w:rsidR="007767F8" w:rsidRPr="00887631" w:rsidRDefault="007767F8" w:rsidP="00BA76F8">
            <w:pPr>
              <w:keepNext/>
              <w:rPr>
                <w:sz w:val="22"/>
                <w:szCs w:val="22"/>
              </w:rPr>
            </w:pPr>
          </w:p>
          <w:p w:rsidR="007767F8" w:rsidRPr="00887631" w:rsidRDefault="007767F8" w:rsidP="00BA76F8">
            <w:pPr>
              <w:keepNext/>
              <w:rPr>
                <w:sz w:val="22"/>
                <w:szCs w:val="22"/>
              </w:rPr>
            </w:pPr>
            <w:r w:rsidRPr="00887631">
              <w:rPr>
                <w:sz w:val="22"/>
                <w:szCs w:val="22"/>
              </w:rPr>
              <w:t xml:space="preserve">Handout - Excerpt from OECD Model Commentary on Article 5, Permanent Establishment </w:t>
            </w:r>
          </w:p>
          <w:p w:rsidR="007767F8" w:rsidRPr="00887631" w:rsidRDefault="003C70F3" w:rsidP="00BA76F8">
            <w:pPr>
              <w:keepNext/>
              <w:rPr>
                <w:sz w:val="22"/>
                <w:szCs w:val="22"/>
              </w:rPr>
            </w:pPr>
            <w:r>
              <w:rPr>
                <w:sz w:val="22"/>
                <w:szCs w:val="22"/>
              </w:rPr>
              <w:t xml:space="preserve">Handout – Excerpt from OECD BEPS Discussion Drafts, Action Item No. 7, “Preventing Artificial Avoidance of Permanent Establishment Status”  </w:t>
            </w:r>
          </w:p>
          <w:p w:rsidR="007767F8" w:rsidRDefault="003C70F3" w:rsidP="00F37E69">
            <w:pPr>
              <w:keepNext/>
              <w:rPr>
                <w:sz w:val="22"/>
                <w:szCs w:val="22"/>
              </w:rPr>
            </w:pPr>
            <w:r>
              <w:rPr>
                <w:sz w:val="22"/>
                <w:szCs w:val="22"/>
              </w:rPr>
              <w:t>IRC 6114</w:t>
            </w:r>
          </w:p>
          <w:p w:rsidR="00F37E69" w:rsidRPr="00887631" w:rsidRDefault="00F37E69" w:rsidP="00F37E69">
            <w:pPr>
              <w:keepNext/>
              <w:rPr>
                <w:sz w:val="22"/>
                <w:szCs w:val="22"/>
              </w:rPr>
            </w:pPr>
          </w:p>
        </w:tc>
        <w:tc>
          <w:tcPr>
            <w:tcW w:w="2880" w:type="dxa"/>
          </w:tcPr>
          <w:p w:rsidR="003C70F3" w:rsidRDefault="003C70F3" w:rsidP="00CB13A9">
            <w:pPr>
              <w:pStyle w:val="Tabletext"/>
              <w:spacing w:before="0" w:after="120"/>
              <w:rPr>
                <w:sz w:val="22"/>
                <w:szCs w:val="22"/>
              </w:rPr>
            </w:pPr>
            <w:r w:rsidRPr="00887631">
              <w:rPr>
                <w:sz w:val="22"/>
                <w:szCs w:val="22"/>
              </w:rPr>
              <w:lastRenderedPageBreak/>
              <w:t xml:space="preserve">IRS website - </w:t>
            </w:r>
            <w:hyperlink r:id="rId15" w:history="1">
              <w:r w:rsidRPr="00887631">
                <w:rPr>
                  <w:rStyle w:val="Hyperlink"/>
                  <w:sz w:val="22"/>
                  <w:szCs w:val="22"/>
                </w:rPr>
                <w:t>http://www.irs.gov/Individuals/International-Taxpayers/Tax-Treaties</w:t>
              </w:r>
            </w:hyperlink>
          </w:p>
          <w:p w:rsidR="00E10A67" w:rsidRDefault="00E10A67" w:rsidP="00CB13A9">
            <w:pPr>
              <w:pStyle w:val="Tabletext"/>
              <w:spacing w:before="0" w:after="120"/>
              <w:rPr>
                <w:sz w:val="22"/>
                <w:szCs w:val="22"/>
              </w:rPr>
            </w:pPr>
            <w:r>
              <w:rPr>
                <w:sz w:val="22"/>
                <w:szCs w:val="22"/>
              </w:rPr>
              <w:t>Form 8233 (Exemption from Withholding on Services income)</w:t>
            </w:r>
          </w:p>
          <w:p w:rsidR="007767F8" w:rsidRPr="00887631" w:rsidRDefault="00185192" w:rsidP="00CB13A9">
            <w:pPr>
              <w:pStyle w:val="Tabletext"/>
              <w:spacing w:before="0" w:after="120"/>
              <w:rPr>
                <w:sz w:val="22"/>
                <w:szCs w:val="22"/>
              </w:rPr>
            </w:pPr>
            <w:r>
              <w:rPr>
                <w:sz w:val="22"/>
                <w:szCs w:val="22"/>
              </w:rPr>
              <w:t>Form 8</w:t>
            </w:r>
            <w:r w:rsidR="003C70F3">
              <w:rPr>
                <w:sz w:val="22"/>
                <w:szCs w:val="22"/>
              </w:rPr>
              <w:t>8</w:t>
            </w:r>
            <w:r>
              <w:rPr>
                <w:sz w:val="22"/>
                <w:szCs w:val="22"/>
              </w:rPr>
              <w:t>33</w:t>
            </w:r>
            <w:r w:rsidR="003C70F3">
              <w:rPr>
                <w:sz w:val="22"/>
                <w:szCs w:val="22"/>
              </w:rPr>
              <w:t xml:space="preserve"> (Disclosure of Treaty-Based Return Position)</w:t>
            </w:r>
          </w:p>
        </w:tc>
        <w:tc>
          <w:tcPr>
            <w:tcW w:w="1350" w:type="dxa"/>
          </w:tcPr>
          <w:p w:rsidR="007767F8" w:rsidRPr="00887631" w:rsidRDefault="00C8556A" w:rsidP="00CB13A9">
            <w:pPr>
              <w:pStyle w:val="Tabletext"/>
              <w:spacing w:before="0" w:after="120"/>
              <w:rPr>
                <w:sz w:val="22"/>
                <w:szCs w:val="22"/>
              </w:rPr>
            </w:pPr>
            <w:r>
              <w:rPr>
                <w:sz w:val="22"/>
                <w:szCs w:val="22"/>
              </w:rPr>
              <w:t>Assignment #3 – Problems Listed Below</w:t>
            </w:r>
          </w:p>
        </w:tc>
      </w:tr>
      <w:tr w:rsidR="007767F8" w:rsidRPr="00887631" w:rsidTr="00887631">
        <w:tc>
          <w:tcPr>
            <w:tcW w:w="450" w:type="dxa"/>
          </w:tcPr>
          <w:p w:rsidR="007767F8" w:rsidRPr="00887631" w:rsidRDefault="007767F8" w:rsidP="00503E2E">
            <w:pPr>
              <w:pStyle w:val="Tabletext"/>
              <w:rPr>
                <w:sz w:val="22"/>
                <w:szCs w:val="22"/>
              </w:rPr>
            </w:pPr>
            <w:r w:rsidRPr="00887631">
              <w:rPr>
                <w:sz w:val="22"/>
                <w:szCs w:val="22"/>
              </w:rPr>
              <w:lastRenderedPageBreak/>
              <w:t>5</w:t>
            </w:r>
          </w:p>
          <w:p w:rsidR="007767F8" w:rsidRPr="00887631" w:rsidRDefault="007767F8" w:rsidP="00503E2E">
            <w:pPr>
              <w:rPr>
                <w:sz w:val="22"/>
                <w:szCs w:val="22"/>
              </w:rPr>
            </w:pPr>
          </w:p>
        </w:tc>
        <w:tc>
          <w:tcPr>
            <w:tcW w:w="1170" w:type="dxa"/>
          </w:tcPr>
          <w:p w:rsidR="007767F8" w:rsidRPr="00887631" w:rsidRDefault="00BD486E" w:rsidP="003630C8">
            <w:pPr>
              <w:pStyle w:val="Tabletext"/>
              <w:jc w:val="center"/>
              <w:rPr>
                <w:sz w:val="22"/>
                <w:szCs w:val="22"/>
              </w:rPr>
            </w:pPr>
            <w:r>
              <w:rPr>
                <w:sz w:val="22"/>
                <w:szCs w:val="22"/>
              </w:rPr>
              <w:t>10/19</w:t>
            </w:r>
          </w:p>
          <w:p w:rsidR="007767F8" w:rsidRPr="00887631" w:rsidRDefault="007767F8" w:rsidP="001C6F2C">
            <w:pPr>
              <w:rPr>
                <w:sz w:val="22"/>
                <w:szCs w:val="22"/>
              </w:rPr>
            </w:pPr>
          </w:p>
          <w:p w:rsidR="007767F8" w:rsidRPr="00887631" w:rsidRDefault="007767F8" w:rsidP="001C6F2C">
            <w:pPr>
              <w:rPr>
                <w:sz w:val="22"/>
                <w:szCs w:val="22"/>
              </w:rPr>
            </w:pPr>
          </w:p>
        </w:tc>
        <w:tc>
          <w:tcPr>
            <w:tcW w:w="3870" w:type="dxa"/>
          </w:tcPr>
          <w:p w:rsidR="007767F8" w:rsidRPr="00887631" w:rsidRDefault="007767F8" w:rsidP="00D128DD">
            <w:pPr>
              <w:pStyle w:val="Tabletext"/>
              <w:spacing w:before="0" w:after="120"/>
              <w:rPr>
                <w:sz w:val="22"/>
                <w:szCs w:val="22"/>
              </w:rPr>
            </w:pPr>
            <w:r w:rsidRPr="00887631">
              <w:rPr>
                <w:sz w:val="22"/>
                <w:szCs w:val="22"/>
              </w:rPr>
              <w:t>Direct Foreign Tax Credit and Limitation</w:t>
            </w:r>
          </w:p>
          <w:p w:rsidR="007767F8" w:rsidRPr="00887631" w:rsidRDefault="007767F8" w:rsidP="00E42C9A">
            <w:pPr>
              <w:numPr>
                <w:ilvl w:val="0"/>
                <w:numId w:val="10"/>
              </w:numPr>
              <w:rPr>
                <w:color w:val="000000"/>
                <w:sz w:val="22"/>
                <w:szCs w:val="22"/>
              </w:rPr>
            </w:pPr>
            <w:r w:rsidRPr="00887631">
              <w:rPr>
                <w:color w:val="000000"/>
                <w:sz w:val="22"/>
                <w:szCs w:val="22"/>
              </w:rPr>
              <w:t xml:space="preserve">Why is a foreign tax credit necessary </w:t>
            </w:r>
          </w:p>
          <w:p w:rsidR="007767F8" w:rsidRPr="00887631" w:rsidRDefault="007767F8" w:rsidP="00E42C9A">
            <w:pPr>
              <w:numPr>
                <w:ilvl w:val="0"/>
                <w:numId w:val="10"/>
              </w:numPr>
              <w:rPr>
                <w:color w:val="000000"/>
                <w:sz w:val="22"/>
                <w:szCs w:val="22"/>
              </w:rPr>
            </w:pPr>
            <w:r w:rsidRPr="00887631">
              <w:rPr>
                <w:color w:val="000000"/>
                <w:sz w:val="22"/>
                <w:szCs w:val="22"/>
              </w:rPr>
              <w:t xml:space="preserve">Definition of Creditable Income taxes under § 901 </w:t>
            </w:r>
          </w:p>
          <w:p w:rsidR="007767F8" w:rsidRPr="00887631" w:rsidRDefault="007767F8" w:rsidP="00E42C9A">
            <w:pPr>
              <w:numPr>
                <w:ilvl w:val="0"/>
                <w:numId w:val="10"/>
              </w:numPr>
              <w:rPr>
                <w:color w:val="000000"/>
                <w:sz w:val="22"/>
                <w:szCs w:val="22"/>
              </w:rPr>
            </w:pPr>
            <w:r w:rsidRPr="00887631">
              <w:rPr>
                <w:color w:val="000000"/>
                <w:sz w:val="22"/>
                <w:szCs w:val="22"/>
              </w:rPr>
              <w:t xml:space="preserve">Section 904 Limitation – </w:t>
            </w:r>
          </w:p>
          <w:p w:rsidR="007767F8" w:rsidRPr="00887631" w:rsidRDefault="007767F8" w:rsidP="00E42C9A">
            <w:pPr>
              <w:numPr>
                <w:ilvl w:val="1"/>
                <w:numId w:val="10"/>
              </w:numPr>
              <w:rPr>
                <w:color w:val="000000"/>
                <w:sz w:val="22"/>
                <w:szCs w:val="22"/>
              </w:rPr>
            </w:pPr>
            <w:r w:rsidRPr="00887631">
              <w:rPr>
                <w:color w:val="000000"/>
                <w:sz w:val="22"/>
                <w:szCs w:val="22"/>
              </w:rPr>
              <w:t xml:space="preserve">Basic calculation </w:t>
            </w:r>
          </w:p>
          <w:p w:rsidR="007767F8" w:rsidRPr="00887631" w:rsidRDefault="007767F8" w:rsidP="00E42C9A">
            <w:pPr>
              <w:numPr>
                <w:ilvl w:val="1"/>
                <w:numId w:val="10"/>
              </w:numPr>
              <w:rPr>
                <w:color w:val="000000"/>
                <w:sz w:val="22"/>
                <w:szCs w:val="22"/>
              </w:rPr>
            </w:pPr>
            <w:r w:rsidRPr="00887631">
              <w:rPr>
                <w:color w:val="000000"/>
                <w:sz w:val="22"/>
                <w:szCs w:val="22"/>
              </w:rPr>
              <w:t>Understanding of separate Section 904 baskets for Passive Income vs. General Income</w:t>
            </w:r>
          </w:p>
          <w:p w:rsidR="007767F8" w:rsidRPr="00887631" w:rsidRDefault="007767F8" w:rsidP="00E42C9A">
            <w:pPr>
              <w:numPr>
                <w:ilvl w:val="1"/>
                <w:numId w:val="10"/>
              </w:numPr>
              <w:rPr>
                <w:color w:val="000000"/>
                <w:sz w:val="22"/>
                <w:szCs w:val="22"/>
              </w:rPr>
            </w:pPr>
            <w:r w:rsidRPr="00887631">
              <w:rPr>
                <w:color w:val="000000"/>
                <w:sz w:val="22"/>
                <w:szCs w:val="22"/>
              </w:rPr>
              <w:t>Carryovers and carrybacks</w:t>
            </w:r>
          </w:p>
          <w:p w:rsidR="007767F8" w:rsidRPr="00887631" w:rsidRDefault="007767F8" w:rsidP="00D128DD">
            <w:pPr>
              <w:rPr>
                <w:sz w:val="22"/>
                <w:szCs w:val="22"/>
              </w:rPr>
            </w:pPr>
          </w:p>
        </w:tc>
        <w:tc>
          <w:tcPr>
            <w:tcW w:w="4050" w:type="dxa"/>
          </w:tcPr>
          <w:p w:rsidR="007767F8" w:rsidRPr="00887631" w:rsidRDefault="007767F8" w:rsidP="00D128DD">
            <w:pPr>
              <w:pStyle w:val="Tabletext"/>
              <w:spacing w:before="0" w:after="120"/>
              <w:rPr>
                <w:sz w:val="22"/>
                <w:szCs w:val="22"/>
              </w:rPr>
            </w:pPr>
            <w:r w:rsidRPr="00887631">
              <w:rPr>
                <w:sz w:val="22"/>
                <w:szCs w:val="22"/>
              </w:rPr>
              <w:t>BNA - FOUNDATIONS, Chapter III, B – D</w:t>
            </w:r>
          </w:p>
          <w:p w:rsidR="007767F8" w:rsidRPr="00887631" w:rsidRDefault="007767F8" w:rsidP="00E10A67">
            <w:pPr>
              <w:rPr>
                <w:sz w:val="22"/>
                <w:szCs w:val="22"/>
              </w:rPr>
            </w:pPr>
            <w:r w:rsidRPr="00887631">
              <w:rPr>
                <w:sz w:val="22"/>
                <w:szCs w:val="22"/>
              </w:rPr>
              <w:t>Nutshell, Section 8.01-8.04</w:t>
            </w:r>
          </w:p>
          <w:p w:rsidR="007767F8" w:rsidRPr="00887631" w:rsidRDefault="007767F8" w:rsidP="00D128DD">
            <w:pPr>
              <w:pStyle w:val="Tabletext"/>
              <w:spacing w:before="0" w:after="120"/>
              <w:rPr>
                <w:sz w:val="22"/>
                <w:szCs w:val="22"/>
              </w:rPr>
            </w:pPr>
            <w:r w:rsidRPr="00887631">
              <w:rPr>
                <w:sz w:val="22"/>
                <w:szCs w:val="22"/>
              </w:rPr>
              <w:t>JCT Report, at pp. 43-46</w:t>
            </w:r>
          </w:p>
          <w:p w:rsidR="007767F8" w:rsidRPr="00887631" w:rsidRDefault="007767F8" w:rsidP="00D128DD">
            <w:pPr>
              <w:pStyle w:val="Tabletext"/>
              <w:spacing w:before="0" w:after="120"/>
              <w:rPr>
                <w:sz w:val="22"/>
                <w:szCs w:val="22"/>
              </w:rPr>
            </w:pPr>
            <w:r w:rsidRPr="00887631">
              <w:rPr>
                <w:sz w:val="22"/>
                <w:szCs w:val="22"/>
              </w:rPr>
              <w:t xml:space="preserve">IRC 164(a)(3), 275(a)(4), 901, 903, IRC 904(a), (c), (d)(1) and (d)(2) </w:t>
            </w:r>
          </w:p>
          <w:p w:rsidR="001574E2" w:rsidRPr="001574E2" w:rsidRDefault="001574E2" w:rsidP="00E10A67">
            <w:pPr>
              <w:rPr>
                <w:sz w:val="22"/>
                <w:szCs w:val="22"/>
              </w:rPr>
            </w:pPr>
            <w:r>
              <w:rPr>
                <w:sz w:val="22"/>
                <w:szCs w:val="22"/>
              </w:rPr>
              <w:t>Reg. § 1.901-2(a), 1.901-2(b), 1.901-2(e)(5)(i) (non-compulsory amounts) and 1.901-2(f)(1) (who is the taxpayer)</w:t>
            </w:r>
          </w:p>
          <w:p w:rsidR="007767F8" w:rsidRDefault="007767F8" w:rsidP="00E10A67">
            <w:pPr>
              <w:rPr>
                <w:sz w:val="22"/>
                <w:szCs w:val="22"/>
              </w:rPr>
            </w:pPr>
            <w:r w:rsidRPr="00E10A67">
              <w:rPr>
                <w:i/>
                <w:sz w:val="22"/>
                <w:szCs w:val="22"/>
              </w:rPr>
              <w:t>PPL Corp. v. Commissioner</w:t>
            </w:r>
            <w:r w:rsidRPr="00887631">
              <w:rPr>
                <w:sz w:val="22"/>
                <w:szCs w:val="22"/>
              </w:rPr>
              <w:t>, 2013-1 U.S.T.C. ¶50,335 (US Supreme Court 2013) (edited)</w:t>
            </w:r>
          </w:p>
          <w:p w:rsidR="007767F8" w:rsidRDefault="001574E2" w:rsidP="00D04664">
            <w:pPr>
              <w:rPr>
                <w:sz w:val="22"/>
                <w:szCs w:val="22"/>
              </w:rPr>
            </w:pPr>
            <w:r>
              <w:rPr>
                <w:sz w:val="22"/>
                <w:szCs w:val="22"/>
              </w:rPr>
              <w:t>IRS IPU Manuals, “Exhaustion of Remedies” (December 2014), “Exhaustion of Remedies – Non-Transfer Pricing Situations” (December 2014) and “French Foreign Tax Credits” (December 2014)</w:t>
            </w:r>
          </w:p>
          <w:p w:rsidR="00D04664" w:rsidRPr="00887631" w:rsidRDefault="00D04664" w:rsidP="00D04664">
            <w:pPr>
              <w:rPr>
                <w:sz w:val="22"/>
                <w:szCs w:val="22"/>
              </w:rPr>
            </w:pPr>
          </w:p>
        </w:tc>
        <w:tc>
          <w:tcPr>
            <w:tcW w:w="2880" w:type="dxa"/>
          </w:tcPr>
          <w:p w:rsidR="00F37E69" w:rsidRDefault="00F37E69" w:rsidP="00F37E69">
            <w:pPr>
              <w:rPr>
                <w:sz w:val="22"/>
                <w:szCs w:val="22"/>
              </w:rPr>
            </w:pPr>
            <w:r>
              <w:rPr>
                <w:sz w:val="22"/>
                <w:szCs w:val="22"/>
              </w:rPr>
              <w:t>Remainder of IRS Form 1116 not addressed in Class No. 2</w:t>
            </w:r>
          </w:p>
          <w:p w:rsidR="00F37E69" w:rsidRPr="00887631" w:rsidRDefault="00F37E69" w:rsidP="00F37E69">
            <w:pPr>
              <w:rPr>
                <w:sz w:val="22"/>
                <w:szCs w:val="22"/>
              </w:rPr>
            </w:pPr>
            <w:r w:rsidRPr="00887631">
              <w:rPr>
                <w:sz w:val="22"/>
                <w:szCs w:val="22"/>
              </w:rPr>
              <w:t xml:space="preserve">IRS Pub. No. 514 – </w:t>
            </w:r>
            <w:r w:rsidRPr="00887631">
              <w:rPr>
                <w:sz w:val="22"/>
                <w:szCs w:val="22"/>
                <w:u w:val="single"/>
              </w:rPr>
              <w:t>How to Claim the Credit and Examples</w:t>
            </w:r>
            <w:r w:rsidRPr="00887631">
              <w:rPr>
                <w:sz w:val="22"/>
                <w:szCs w:val="22"/>
              </w:rPr>
              <w:t xml:space="preserve"> </w:t>
            </w:r>
          </w:p>
          <w:p w:rsidR="007767F8" w:rsidRPr="00887631" w:rsidRDefault="007767F8" w:rsidP="00D128DD">
            <w:pPr>
              <w:pStyle w:val="Tabletext"/>
              <w:spacing w:before="0" w:after="120"/>
              <w:rPr>
                <w:sz w:val="22"/>
                <w:szCs w:val="22"/>
              </w:rPr>
            </w:pPr>
          </w:p>
        </w:tc>
        <w:tc>
          <w:tcPr>
            <w:tcW w:w="1350" w:type="dxa"/>
          </w:tcPr>
          <w:p w:rsidR="007767F8" w:rsidRPr="00887631" w:rsidRDefault="00F37E69" w:rsidP="00D128DD">
            <w:pPr>
              <w:pStyle w:val="Tabletext"/>
              <w:spacing w:before="0" w:after="120"/>
              <w:rPr>
                <w:sz w:val="22"/>
                <w:szCs w:val="22"/>
              </w:rPr>
            </w:pPr>
            <w:r>
              <w:rPr>
                <w:sz w:val="22"/>
                <w:szCs w:val="22"/>
              </w:rPr>
              <w:t xml:space="preserve">Reading Only </w:t>
            </w:r>
          </w:p>
        </w:tc>
      </w:tr>
      <w:tr w:rsidR="007767F8" w:rsidRPr="00887631" w:rsidTr="00887631">
        <w:tc>
          <w:tcPr>
            <w:tcW w:w="450" w:type="dxa"/>
          </w:tcPr>
          <w:p w:rsidR="007767F8" w:rsidRPr="00887631" w:rsidRDefault="007767F8" w:rsidP="00D128DD">
            <w:pPr>
              <w:pStyle w:val="Tabletext"/>
              <w:spacing w:before="0" w:after="120"/>
              <w:rPr>
                <w:sz w:val="22"/>
                <w:szCs w:val="22"/>
              </w:rPr>
            </w:pPr>
            <w:r w:rsidRPr="00887631">
              <w:rPr>
                <w:sz w:val="22"/>
                <w:szCs w:val="22"/>
              </w:rPr>
              <w:lastRenderedPageBreak/>
              <w:t>6</w:t>
            </w:r>
          </w:p>
          <w:p w:rsidR="007767F8" w:rsidRPr="00887631" w:rsidRDefault="007767F8" w:rsidP="00D128DD">
            <w:pPr>
              <w:rPr>
                <w:sz w:val="22"/>
                <w:szCs w:val="22"/>
              </w:rPr>
            </w:pPr>
          </w:p>
        </w:tc>
        <w:tc>
          <w:tcPr>
            <w:tcW w:w="1170" w:type="dxa"/>
          </w:tcPr>
          <w:p w:rsidR="007767F8" w:rsidRPr="00887631" w:rsidRDefault="00BD486E" w:rsidP="00D128DD">
            <w:pPr>
              <w:pStyle w:val="Tabletext"/>
              <w:spacing w:before="0" w:after="120"/>
              <w:jc w:val="center"/>
              <w:rPr>
                <w:sz w:val="22"/>
                <w:szCs w:val="22"/>
              </w:rPr>
            </w:pPr>
            <w:r>
              <w:rPr>
                <w:sz w:val="22"/>
                <w:szCs w:val="22"/>
              </w:rPr>
              <w:t>10/26</w:t>
            </w:r>
          </w:p>
        </w:tc>
        <w:tc>
          <w:tcPr>
            <w:tcW w:w="3870" w:type="dxa"/>
          </w:tcPr>
          <w:p w:rsidR="007767F8" w:rsidRPr="00887631" w:rsidRDefault="007767F8" w:rsidP="00D128DD">
            <w:pPr>
              <w:rPr>
                <w:color w:val="000000"/>
                <w:sz w:val="22"/>
                <w:szCs w:val="22"/>
              </w:rPr>
            </w:pPr>
            <w:r w:rsidRPr="00887631">
              <w:rPr>
                <w:color w:val="000000"/>
                <w:sz w:val="22"/>
                <w:szCs w:val="22"/>
              </w:rPr>
              <w:t>Taxation of US Shareholders in Foreign Corporations, Part I</w:t>
            </w:r>
          </w:p>
          <w:p w:rsidR="007767F8" w:rsidRPr="00E10A67" w:rsidRDefault="007767F8" w:rsidP="003B7FB6">
            <w:pPr>
              <w:numPr>
                <w:ilvl w:val="0"/>
                <w:numId w:val="11"/>
              </w:numPr>
              <w:rPr>
                <w:color w:val="000000"/>
                <w:sz w:val="22"/>
                <w:szCs w:val="22"/>
                <w:u w:val="single"/>
              </w:rPr>
            </w:pPr>
            <w:r w:rsidRPr="00887631">
              <w:rPr>
                <w:color w:val="000000"/>
                <w:sz w:val="22"/>
                <w:szCs w:val="22"/>
                <w:u w:val="single"/>
              </w:rPr>
              <w:t>Earnings and profits</w:t>
            </w:r>
          </w:p>
          <w:p w:rsidR="007767F8" w:rsidRPr="00887631" w:rsidRDefault="007767F8" w:rsidP="003B7FB6">
            <w:pPr>
              <w:numPr>
                <w:ilvl w:val="0"/>
                <w:numId w:val="11"/>
              </w:numPr>
              <w:rPr>
                <w:color w:val="000000"/>
                <w:sz w:val="22"/>
                <w:szCs w:val="22"/>
                <w:u w:val="single"/>
              </w:rPr>
            </w:pPr>
            <w:r w:rsidRPr="00887631">
              <w:rPr>
                <w:color w:val="000000"/>
                <w:sz w:val="22"/>
                <w:szCs w:val="22"/>
              </w:rPr>
              <w:t xml:space="preserve">Calculate the basic section 902 Deemed-Paid Credit </w:t>
            </w:r>
          </w:p>
          <w:p w:rsidR="007767F8" w:rsidRPr="00887631" w:rsidRDefault="007767F8" w:rsidP="003B7FB6">
            <w:pPr>
              <w:numPr>
                <w:ilvl w:val="0"/>
                <w:numId w:val="11"/>
              </w:numPr>
              <w:rPr>
                <w:color w:val="000000"/>
                <w:sz w:val="22"/>
                <w:szCs w:val="22"/>
                <w:u w:val="single"/>
              </w:rPr>
            </w:pPr>
            <w:r w:rsidRPr="00887631">
              <w:rPr>
                <w:color w:val="000000"/>
                <w:sz w:val="22"/>
                <w:szCs w:val="22"/>
              </w:rPr>
              <w:t xml:space="preserve">Introduction to Subpart F </w:t>
            </w:r>
          </w:p>
          <w:p w:rsidR="007767F8" w:rsidRPr="00887631" w:rsidRDefault="007767F8" w:rsidP="003B7FB6">
            <w:pPr>
              <w:numPr>
                <w:ilvl w:val="1"/>
                <w:numId w:val="11"/>
              </w:numPr>
              <w:rPr>
                <w:color w:val="000000"/>
                <w:sz w:val="22"/>
                <w:szCs w:val="22"/>
                <w:u w:val="single"/>
              </w:rPr>
            </w:pPr>
            <w:r w:rsidRPr="00887631">
              <w:rPr>
                <w:color w:val="000000"/>
                <w:sz w:val="22"/>
                <w:szCs w:val="22"/>
              </w:rPr>
              <w:t xml:space="preserve">Concept of an “Anti-Deferral Rule” and Impact on the U.S. Shareholder </w:t>
            </w:r>
          </w:p>
          <w:p w:rsidR="007767F8" w:rsidRPr="00D04664" w:rsidRDefault="007767F8" w:rsidP="00872855">
            <w:pPr>
              <w:numPr>
                <w:ilvl w:val="0"/>
                <w:numId w:val="11"/>
              </w:numPr>
              <w:rPr>
                <w:color w:val="000000"/>
                <w:sz w:val="22"/>
                <w:szCs w:val="22"/>
                <w:u w:val="single"/>
              </w:rPr>
            </w:pPr>
            <w:r w:rsidRPr="00D04664">
              <w:rPr>
                <w:color w:val="000000"/>
                <w:sz w:val="22"/>
                <w:szCs w:val="22"/>
              </w:rPr>
              <w:t xml:space="preserve">Subpart F Mechanics – Inclusions, Previously Taxed Income </w:t>
            </w:r>
          </w:p>
          <w:p w:rsidR="007767F8" w:rsidRPr="00887631" w:rsidRDefault="007767F8" w:rsidP="00D128DD">
            <w:pPr>
              <w:pStyle w:val="Tabletext"/>
              <w:spacing w:before="0" w:after="120"/>
              <w:rPr>
                <w:sz w:val="22"/>
                <w:szCs w:val="22"/>
              </w:rPr>
            </w:pPr>
          </w:p>
        </w:tc>
        <w:tc>
          <w:tcPr>
            <w:tcW w:w="4050" w:type="dxa"/>
          </w:tcPr>
          <w:p w:rsidR="007767F8" w:rsidRPr="00887631" w:rsidRDefault="007767F8" w:rsidP="00D128DD">
            <w:pPr>
              <w:pStyle w:val="Tabletext"/>
              <w:spacing w:before="0" w:after="120"/>
              <w:rPr>
                <w:sz w:val="22"/>
                <w:szCs w:val="22"/>
              </w:rPr>
            </w:pPr>
            <w:r w:rsidRPr="00887631">
              <w:rPr>
                <w:sz w:val="22"/>
                <w:szCs w:val="22"/>
              </w:rPr>
              <w:t>BNA - FOUNDATIONS, Chapter III, A, E– N</w:t>
            </w:r>
          </w:p>
          <w:p w:rsidR="007767F8" w:rsidRPr="00887631" w:rsidRDefault="007767F8" w:rsidP="00A168BF">
            <w:pPr>
              <w:rPr>
                <w:sz w:val="22"/>
                <w:szCs w:val="22"/>
              </w:rPr>
            </w:pPr>
            <w:r w:rsidRPr="00887631">
              <w:rPr>
                <w:sz w:val="22"/>
                <w:szCs w:val="22"/>
              </w:rPr>
              <w:t>BNA Portfolio No. 926-3</w:t>
            </w:r>
            <w:r w:rsidRPr="00887631">
              <w:rPr>
                <w:sz w:val="22"/>
                <w:szCs w:val="22"/>
                <w:vertAlign w:val="superscript"/>
              </w:rPr>
              <w:t>rd</w:t>
            </w:r>
            <w:r w:rsidRPr="00887631">
              <w:rPr>
                <w:sz w:val="22"/>
                <w:szCs w:val="22"/>
              </w:rPr>
              <w:t>, CFCs – General Overview, Chapter II.A – B (Legislative Background) and Worksheet 1 (Excerpt from 1962 House Ways &amp; Means Committee Report Introducing Subpart F).</w:t>
            </w:r>
          </w:p>
          <w:p w:rsidR="007767F8" w:rsidRPr="00887631" w:rsidRDefault="007767F8" w:rsidP="00D128DD">
            <w:pPr>
              <w:rPr>
                <w:sz w:val="22"/>
                <w:szCs w:val="22"/>
              </w:rPr>
            </w:pPr>
            <w:r w:rsidRPr="00887631">
              <w:rPr>
                <w:sz w:val="22"/>
                <w:szCs w:val="22"/>
              </w:rPr>
              <w:t>Nutshell, Sections 8.05-8.08 and 10.01-10.06</w:t>
            </w:r>
          </w:p>
          <w:p w:rsidR="007767F8" w:rsidRPr="00887631" w:rsidRDefault="007767F8" w:rsidP="00D128DD">
            <w:pPr>
              <w:rPr>
                <w:sz w:val="22"/>
                <w:szCs w:val="22"/>
              </w:rPr>
            </w:pPr>
            <w:r w:rsidRPr="00887631">
              <w:rPr>
                <w:sz w:val="22"/>
                <w:szCs w:val="22"/>
              </w:rPr>
              <w:t>JCT, pages 46-53</w:t>
            </w:r>
          </w:p>
          <w:p w:rsidR="007767F8" w:rsidRPr="00887631" w:rsidRDefault="007767F8" w:rsidP="00C53A79">
            <w:pPr>
              <w:rPr>
                <w:sz w:val="22"/>
                <w:szCs w:val="22"/>
              </w:rPr>
            </w:pPr>
            <w:r w:rsidRPr="00887631">
              <w:rPr>
                <w:sz w:val="22"/>
                <w:szCs w:val="22"/>
              </w:rPr>
              <w:t>IRC 902</w:t>
            </w:r>
          </w:p>
          <w:p w:rsidR="007767F8" w:rsidRDefault="007767F8" w:rsidP="00C53A79">
            <w:pPr>
              <w:rPr>
                <w:sz w:val="22"/>
                <w:szCs w:val="22"/>
              </w:rPr>
            </w:pPr>
            <w:r w:rsidRPr="00887631">
              <w:rPr>
                <w:sz w:val="22"/>
                <w:szCs w:val="22"/>
              </w:rPr>
              <w:t xml:space="preserve">IRC 951(a)(1), 951(a)(2), 951(b) 952(a), 952(b), 957 </w:t>
            </w:r>
            <w:r w:rsidR="00D04664">
              <w:rPr>
                <w:sz w:val="22"/>
                <w:szCs w:val="22"/>
              </w:rPr>
              <w:t>–</w:t>
            </w:r>
            <w:r w:rsidRPr="00887631">
              <w:rPr>
                <w:sz w:val="22"/>
                <w:szCs w:val="22"/>
              </w:rPr>
              <w:t xml:space="preserve"> 961</w:t>
            </w:r>
            <w:r w:rsidR="00D04664">
              <w:rPr>
                <w:sz w:val="22"/>
                <w:szCs w:val="22"/>
              </w:rPr>
              <w:t>, IRC 964</w:t>
            </w:r>
          </w:p>
          <w:p w:rsidR="00D04664" w:rsidRDefault="00D04664" w:rsidP="00C53A79">
            <w:pPr>
              <w:rPr>
                <w:sz w:val="22"/>
                <w:szCs w:val="22"/>
              </w:rPr>
            </w:pPr>
            <w:r>
              <w:rPr>
                <w:sz w:val="22"/>
                <w:szCs w:val="22"/>
              </w:rPr>
              <w:t>IRS IPU Manual, “Subpart F Overview” (December 2014)</w:t>
            </w:r>
          </w:p>
          <w:p w:rsidR="007767F8" w:rsidRPr="00887631" w:rsidRDefault="007767F8" w:rsidP="00D04664">
            <w:pPr>
              <w:rPr>
                <w:sz w:val="22"/>
                <w:szCs w:val="22"/>
              </w:rPr>
            </w:pPr>
          </w:p>
        </w:tc>
        <w:tc>
          <w:tcPr>
            <w:tcW w:w="2880" w:type="dxa"/>
          </w:tcPr>
          <w:p w:rsidR="00D04664" w:rsidRDefault="00D04664" w:rsidP="00D04664">
            <w:pPr>
              <w:rPr>
                <w:sz w:val="22"/>
                <w:szCs w:val="22"/>
              </w:rPr>
            </w:pPr>
            <w:r>
              <w:rPr>
                <w:sz w:val="22"/>
                <w:szCs w:val="22"/>
              </w:rPr>
              <w:t xml:space="preserve">Remainder of </w:t>
            </w:r>
            <w:r w:rsidR="00F37E69">
              <w:rPr>
                <w:sz w:val="22"/>
                <w:szCs w:val="22"/>
              </w:rPr>
              <w:t>IRS Form 1118</w:t>
            </w:r>
            <w:r w:rsidRPr="00887631">
              <w:rPr>
                <w:sz w:val="22"/>
                <w:szCs w:val="22"/>
              </w:rPr>
              <w:t xml:space="preserve"> (</w:t>
            </w:r>
            <w:hyperlink r:id="rId16" w:history="1">
              <w:r w:rsidRPr="00887631">
                <w:rPr>
                  <w:rStyle w:val="Hyperlink"/>
                  <w:sz w:val="22"/>
                  <w:szCs w:val="22"/>
                </w:rPr>
                <w:t>h</w:t>
              </w:r>
              <w:r w:rsidRPr="00887631">
                <w:rPr>
                  <w:rStyle w:val="Hyperlink"/>
                  <w:sz w:val="22"/>
                  <w:szCs w:val="22"/>
                </w:rPr>
                <w:t>t</w:t>
              </w:r>
              <w:r w:rsidRPr="00887631">
                <w:rPr>
                  <w:rStyle w:val="Hyperlink"/>
                  <w:sz w:val="22"/>
                  <w:szCs w:val="22"/>
                </w:rPr>
                <w:t>tp://www.irs.gov/pub/irs-pdf/f1118.pdf</w:t>
              </w:r>
            </w:hyperlink>
            <w:r w:rsidRPr="00887631">
              <w:rPr>
                <w:sz w:val="22"/>
                <w:szCs w:val="22"/>
              </w:rPr>
              <w:t xml:space="preserve">) </w:t>
            </w:r>
          </w:p>
          <w:p w:rsidR="00D04664" w:rsidRPr="00887631" w:rsidRDefault="00D04664" w:rsidP="00D04664">
            <w:pPr>
              <w:rPr>
                <w:sz w:val="22"/>
                <w:szCs w:val="22"/>
              </w:rPr>
            </w:pPr>
            <w:r>
              <w:rPr>
                <w:sz w:val="22"/>
                <w:szCs w:val="22"/>
              </w:rPr>
              <w:t>IRS Form 5471, Schedule H and Schedule J</w:t>
            </w:r>
          </w:p>
          <w:p w:rsidR="007767F8" w:rsidRPr="00887631" w:rsidRDefault="007767F8" w:rsidP="00D128DD">
            <w:pPr>
              <w:pStyle w:val="Tabletext"/>
              <w:spacing w:before="0" w:after="120"/>
              <w:rPr>
                <w:sz w:val="22"/>
                <w:szCs w:val="22"/>
              </w:rPr>
            </w:pPr>
          </w:p>
        </w:tc>
        <w:tc>
          <w:tcPr>
            <w:tcW w:w="1350" w:type="dxa"/>
          </w:tcPr>
          <w:p w:rsidR="007767F8" w:rsidRPr="00887631" w:rsidRDefault="00F37E69" w:rsidP="00D128DD">
            <w:pPr>
              <w:pStyle w:val="Tabletext"/>
              <w:spacing w:before="0" w:after="120"/>
              <w:rPr>
                <w:sz w:val="22"/>
                <w:szCs w:val="22"/>
              </w:rPr>
            </w:pPr>
            <w:r>
              <w:rPr>
                <w:sz w:val="22"/>
                <w:szCs w:val="22"/>
              </w:rPr>
              <w:t>Assignment #4 – Handout on Foreign Tax Credit and FTC Limitation</w:t>
            </w:r>
          </w:p>
        </w:tc>
      </w:tr>
      <w:tr w:rsidR="007767F8" w:rsidRPr="00887631" w:rsidTr="00887631">
        <w:tc>
          <w:tcPr>
            <w:tcW w:w="450" w:type="dxa"/>
          </w:tcPr>
          <w:p w:rsidR="007767F8" w:rsidRPr="00887631" w:rsidRDefault="007767F8" w:rsidP="00D128DD">
            <w:pPr>
              <w:pStyle w:val="Tabletext"/>
              <w:spacing w:before="0" w:after="120"/>
              <w:rPr>
                <w:sz w:val="22"/>
                <w:szCs w:val="22"/>
              </w:rPr>
            </w:pPr>
            <w:r w:rsidRPr="00887631">
              <w:rPr>
                <w:sz w:val="22"/>
                <w:szCs w:val="22"/>
              </w:rPr>
              <w:t>7</w:t>
            </w:r>
          </w:p>
          <w:p w:rsidR="007767F8" w:rsidRPr="00887631" w:rsidRDefault="007767F8" w:rsidP="00D128DD">
            <w:pPr>
              <w:rPr>
                <w:sz w:val="22"/>
                <w:szCs w:val="22"/>
              </w:rPr>
            </w:pPr>
          </w:p>
        </w:tc>
        <w:tc>
          <w:tcPr>
            <w:tcW w:w="1170" w:type="dxa"/>
          </w:tcPr>
          <w:p w:rsidR="007767F8" w:rsidRPr="00887631" w:rsidRDefault="00BD486E" w:rsidP="00D128DD">
            <w:pPr>
              <w:pStyle w:val="Tabletext"/>
              <w:spacing w:before="0" w:after="120"/>
              <w:jc w:val="center"/>
              <w:rPr>
                <w:sz w:val="22"/>
                <w:szCs w:val="22"/>
              </w:rPr>
            </w:pPr>
            <w:r>
              <w:rPr>
                <w:sz w:val="22"/>
                <w:szCs w:val="22"/>
              </w:rPr>
              <w:t>11/2</w:t>
            </w:r>
          </w:p>
        </w:tc>
        <w:tc>
          <w:tcPr>
            <w:tcW w:w="3870" w:type="dxa"/>
          </w:tcPr>
          <w:p w:rsidR="007767F8" w:rsidRPr="00887631" w:rsidRDefault="007767F8" w:rsidP="00D128DD">
            <w:pPr>
              <w:rPr>
                <w:color w:val="000000"/>
                <w:sz w:val="22"/>
                <w:szCs w:val="22"/>
              </w:rPr>
            </w:pPr>
            <w:r w:rsidRPr="00887631">
              <w:rPr>
                <w:color w:val="000000"/>
                <w:sz w:val="22"/>
                <w:szCs w:val="22"/>
              </w:rPr>
              <w:t>Taxation of US Investors in Foreign Corporations, Part II</w:t>
            </w:r>
          </w:p>
          <w:p w:rsidR="007767F8" w:rsidRPr="00887631" w:rsidRDefault="007767F8" w:rsidP="00E42C9A">
            <w:pPr>
              <w:numPr>
                <w:ilvl w:val="0"/>
                <w:numId w:val="12"/>
              </w:numPr>
              <w:rPr>
                <w:color w:val="000000"/>
                <w:sz w:val="22"/>
                <w:szCs w:val="22"/>
                <w:u w:val="single"/>
              </w:rPr>
            </w:pPr>
            <w:r w:rsidRPr="00887631">
              <w:rPr>
                <w:color w:val="000000"/>
                <w:sz w:val="22"/>
                <w:szCs w:val="22"/>
              </w:rPr>
              <w:t xml:space="preserve">High-Level Review of Three Main Types of Subpart F Income </w:t>
            </w:r>
          </w:p>
          <w:p w:rsidR="007767F8" w:rsidRPr="00887631" w:rsidRDefault="007767F8" w:rsidP="00E42C9A">
            <w:pPr>
              <w:numPr>
                <w:ilvl w:val="1"/>
                <w:numId w:val="12"/>
              </w:numPr>
              <w:rPr>
                <w:color w:val="000000"/>
                <w:sz w:val="22"/>
                <w:szCs w:val="22"/>
                <w:u w:val="single"/>
              </w:rPr>
            </w:pPr>
            <w:r w:rsidRPr="00887631">
              <w:rPr>
                <w:color w:val="000000"/>
                <w:sz w:val="22"/>
                <w:szCs w:val="22"/>
              </w:rPr>
              <w:t xml:space="preserve">Foreign personal holding company income (Sec. 954(c)) </w:t>
            </w:r>
          </w:p>
          <w:p w:rsidR="007767F8" w:rsidRPr="00887631" w:rsidRDefault="007767F8" w:rsidP="00E42C9A">
            <w:pPr>
              <w:numPr>
                <w:ilvl w:val="1"/>
                <w:numId w:val="12"/>
              </w:numPr>
              <w:rPr>
                <w:color w:val="000000"/>
                <w:sz w:val="22"/>
                <w:szCs w:val="22"/>
                <w:u w:val="single"/>
              </w:rPr>
            </w:pPr>
            <w:r w:rsidRPr="00887631">
              <w:rPr>
                <w:color w:val="000000"/>
                <w:sz w:val="22"/>
                <w:szCs w:val="22"/>
              </w:rPr>
              <w:t xml:space="preserve">Foreign base company sales income (Sec. 954(d)) </w:t>
            </w:r>
          </w:p>
          <w:p w:rsidR="007767F8" w:rsidRPr="00887631" w:rsidRDefault="007767F8" w:rsidP="00E42C9A">
            <w:pPr>
              <w:numPr>
                <w:ilvl w:val="1"/>
                <w:numId w:val="12"/>
              </w:numPr>
              <w:rPr>
                <w:color w:val="000000"/>
                <w:sz w:val="22"/>
                <w:szCs w:val="22"/>
                <w:u w:val="single"/>
              </w:rPr>
            </w:pPr>
            <w:r w:rsidRPr="00887631">
              <w:rPr>
                <w:color w:val="000000"/>
                <w:sz w:val="22"/>
                <w:szCs w:val="22"/>
              </w:rPr>
              <w:t>Foreign base company services income (Sec. 954(e)</w:t>
            </w:r>
          </w:p>
          <w:p w:rsidR="007767F8" w:rsidRPr="00887631" w:rsidRDefault="007767F8" w:rsidP="00872855">
            <w:pPr>
              <w:numPr>
                <w:ilvl w:val="0"/>
                <w:numId w:val="12"/>
              </w:numPr>
              <w:rPr>
                <w:color w:val="000000"/>
                <w:sz w:val="22"/>
                <w:szCs w:val="22"/>
                <w:u w:val="single"/>
              </w:rPr>
            </w:pPr>
            <w:r w:rsidRPr="00887631">
              <w:rPr>
                <w:color w:val="000000"/>
                <w:sz w:val="22"/>
                <w:szCs w:val="22"/>
              </w:rPr>
              <w:t xml:space="preserve">How different categories of subpart F income are reported </w:t>
            </w:r>
          </w:p>
          <w:p w:rsidR="007767F8" w:rsidRPr="00887631" w:rsidRDefault="007767F8" w:rsidP="00D128DD">
            <w:pPr>
              <w:pStyle w:val="Tabletext"/>
              <w:spacing w:before="0" w:after="120"/>
              <w:rPr>
                <w:sz w:val="22"/>
                <w:szCs w:val="22"/>
              </w:rPr>
            </w:pPr>
          </w:p>
        </w:tc>
        <w:tc>
          <w:tcPr>
            <w:tcW w:w="4050" w:type="dxa"/>
          </w:tcPr>
          <w:p w:rsidR="007767F8" w:rsidRPr="00887631" w:rsidRDefault="007767F8" w:rsidP="003B7FB6">
            <w:pPr>
              <w:pStyle w:val="Tabletext"/>
              <w:spacing w:before="0" w:after="120"/>
              <w:rPr>
                <w:sz w:val="22"/>
                <w:szCs w:val="22"/>
              </w:rPr>
            </w:pPr>
            <w:r w:rsidRPr="00887631">
              <w:rPr>
                <w:sz w:val="22"/>
                <w:szCs w:val="22"/>
              </w:rPr>
              <w:t>Same BNA - FOUNDATIONS as previous class</w:t>
            </w:r>
          </w:p>
          <w:p w:rsidR="007767F8" w:rsidRPr="00887631" w:rsidRDefault="007767F8" w:rsidP="00E10A67">
            <w:pPr>
              <w:rPr>
                <w:sz w:val="22"/>
                <w:szCs w:val="22"/>
              </w:rPr>
            </w:pPr>
            <w:r w:rsidRPr="00887631">
              <w:rPr>
                <w:sz w:val="22"/>
                <w:szCs w:val="22"/>
              </w:rPr>
              <w:t>Nutshell, Sections 10.01.-10.06 (same as previous class)</w:t>
            </w:r>
          </w:p>
          <w:p w:rsidR="007767F8" w:rsidRPr="00887631" w:rsidRDefault="007767F8" w:rsidP="003B7FB6">
            <w:pPr>
              <w:pStyle w:val="Tabletext"/>
              <w:spacing w:before="0" w:after="120"/>
              <w:rPr>
                <w:sz w:val="22"/>
                <w:szCs w:val="22"/>
              </w:rPr>
            </w:pPr>
            <w:r w:rsidRPr="00887631">
              <w:rPr>
                <w:sz w:val="22"/>
                <w:szCs w:val="22"/>
              </w:rPr>
              <w:t>IRC 954(a), (b), (c)(1) and (c)(2), (d) and (e)</w:t>
            </w:r>
          </w:p>
          <w:p w:rsidR="007767F8" w:rsidRPr="00887631" w:rsidRDefault="007767F8" w:rsidP="00987292">
            <w:pPr>
              <w:rPr>
                <w:sz w:val="22"/>
                <w:szCs w:val="22"/>
              </w:rPr>
            </w:pPr>
            <w:r w:rsidRPr="00887631">
              <w:rPr>
                <w:sz w:val="22"/>
                <w:szCs w:val="22"/>
              </w:rPr>
              <w:t>Treas. Reg. §§ 1.954-2(c) and 1.954-2(d), 1.954-3(a)(1)(iii) Examples 1 – 5, 1.954-3(a)(4)(i) and -3(a)(4)(iii), IRS Notice 2007-13</w:t>
            </w:r>
          </w:p>
          <w:p w:rsidR="007767F8" w:rsidRDefault="00D04664" w:rsidP="005D3470">
            <w:pPr>
              <w:rPr>
                <w:sz w:val="22"/>
                <w:szCs w:val="22"/>
              </w:rPr>
            </w:pPr>
            <w:r>
              <w:rPr>
                <w:sz w:val="22"/>
                <w:szCs w:val="22"/>
              </w:rPr>
              <w:t>IRS IPU manuals, “Computing Foreign Base Company Income” (December 2014)</w:t>
            </w:r>
          </w:p>
          <w:p w:rsidR="00D04664" w:rsidRDefault="00D04664" w:rsidP="00D04664">
            <w:pPr>
              <w:rPr>
                <w:sz w:val="22"/>
                <w:szCs w:val="22"/>
              </w:rPr>
            </w:pPr>
            <w:r>
              <w:rPr>
                <w:sz w:val="22"/>
                <w:szCs w:val="22"/>
              </w:rPr>
              <w:t>“CFC Purchased from a Related Party with Same Countr</w:t>
            </w:r>
            <w:r w:rsidR="0075160B">
              <w:rPr>
                <w:sz w:val="22"/>
                <w:szCs w:val="22"/>
              </w:rPr>
              <w:t>y S</w:t>
            </w:r>
            <w:r>
              <w:rPr>
                <w:sz w:val="22"/>
                <w:szCs w:val="22"/>
              </w:rPr>
              <w:t>ales” (</w:t>
            </w:r>
            <w:r w:rsidR="0075160B">
              <w:rPr>
                <w:sz w:val="22"/>
                <w:szCs w:val="22"/>
              </w:rPr>
              <w:t>July 2015</w:t>
            </w:r>
            <w:r>
              <w:rPr>
                <w:sz w:val="22"/>
                <w:szCs w:val="22"/>
              </w:rPr>
              <w:t>)</w:t>
            </w:r>
          </w:p>
          <w:p w:rsidR="00D04664" w:rsidRPr="00887631" w:rsidRDefault="00D04664" w:rsidP="0075160B">
            <w:pPr>
              <w:rPr>
                <w:sz w:val="22"/>
                <w:szCs w:val="22"/>
              </w:rPr>
            </w:pPr>
            <w:r>
              <w:rPr>
                <w:sz w:val="22"/>
                <w:szCs w:val="22"/>
              </w:rPr>
              <w:t>“CFC Sold to a Related Party with Unrelated Same Country Manufacturing” (</w:t>
            </w:r>
            <w:r w:rsidR="0075160B">
              <w:rPr>
                <w:sz w:val="22"/>
                <w:szCs w:val="22"/>
              </w:rPr>
              <w:t>July 2015</w:t>
            </w:r>
            <w:r>
              <w:rPr>
                <w:sz w:val="22"/>
                <w:szCs w:val="22"/>
              </w:rPr>
              <w:t>)</w:t>
            </w:r>
          </w:p>
        </w:tc>
        <w:tc>
          <w:tcPr>
            <w:tcW w:w="2880" w:type="dxa"/>
          </w:tcPr>
          <w:p w:rsidR="007767F8" w:rsidRPr="00887631" w:rsidRDefault="00D04664" w:rsidP="003B7FB6">
            <w:pPr>
              <w:pStyle w:val="Tabletext"/>
              <w:spacing w:before="0" w:after="120"/>
              <w:rPr>
                <w:sz w:val="22"/>
                <w:szCs w:val="22"/>
              </w:rPr>
            </w:pPr>
            <w:r>
              <w:rPr>
                <w:sz w:val="22"/>
                <w:szCs w:val="22"/>
              </w:rPr>
              <w:t xml:space="preserve">IRS </w:t>
            </w:r>
            <w:r w:rsidRPr="00887631">
              <w:rPr>
                <w:sz w:val="22"/>
                <w:szCs w:val="22"/>
              </w:rPr>
              <w:t>Form 5471 Schedule I and (http://www.irs.gov/pub/irs-pdf/i5471.pdf), and Schedule I Instructions – (</w:t>
            </w:r>
            <w:r w:rsidRPr="00887631">
              <w:rPr>
                <w:b/>
                <w:sz w:val="22"/>
                <w:szCs w:val="22"/>
              </w:rPr>
              <w:t>Note to class:</w:t>
            </w:r>
            <w:r w:rsidRPr="00887631">
              <w:rPr>
                <w:sz w:val="22"/>
                <w:szCs w:val="22"/>
              </w:rPr>
              <w:t xml:space="preserve"> in the instructions, please focus on Worksheets A and B (computing subpart F income and Sec. 956 investment)).</w:t>
            </w:r>
          </w:p>
        </w:tc>
        <w:tc>
          <w:tcPr>
            <w:tcW w:w="1350" w:type="dxa"/>
          </w:tcPr>
          <w:p w:rsidR="007767F8" w:rsidRPr="00887631" w:rsidRDefault="00D04664" w:rsidP="003B7FB6">
            <w:pPr>
              <w:pStyle w:val="Tabletext"/>
              <w:spacing w:before="0" w:after="120"/>
              <w:rPr>
                <w:sz w:val="22"/>
                <w:szCs w:val="22"/>
              </w:rPr>
            </w:pPr>
            <w:r>
              <w:rPr>
                <w:sz w:val="22"/>
                <w:szCs w:val="22"/>
              </w:rPr>
              <w:t>Reading only</w:t>
            </w:r>
          </w:p>
        </w:tc>
      </w:tr>
      <w:tr w:rsidR="007767F8" w:rsidRPr="00887631" w:rsidTr="00887631">
        <w:tc>
          <w:tcPr>
            <w:tcW w:w="450" w:type="dxa"/>
          </w:tcPr>
          <w:p w:rsidR="007767F8" w:rsidRPr="00887631" w:rsidRDefault="007767F8" w:rsidP="00503E2E">
            <w:pPr>
              <w:pStyle w:val="Tabletext"/>
              <w:rPr>
                <w:sz w:val="22"/>
                <w:szCs w:val="22"/>
              </w:rPr>
            </w:pPr>
            <w:r w:rsidRPr="00887631">
              <w:rPr>
                <w:sz w:val="22"/>
                <w:szCs w:val="22"/>
              </w:rPr>
              <w:lastRenderedPageBreak/>
              <w:t>8</w:t>
            </w:r>
          </w:p>
          <w:p w:rsidR="007767F8" w:rsidRPr="00887631" w:rsidRDefault="007767F8" w:rsidP="00503E2E">
            <w:pPr>
              <w:rPr>
                <w:sz w:val="22"/>
                <w:szCs w:val="22"/>
              </w:rPr>
            </w:pPr>
          </w:p>
        </w:tc>
        <w:tc>
          <w:tcPr>
            <w:tcW w:w="1170" w:type="dxa"/>
          </w:tcPr>
          <w:p w:rsidR="007767F8" w:rsidRPr="00887631" w:rsidRDefault="00BD486E" w:rsidP="001C6F2C">
            <w:pPr>
              <w:pStyle w:val="Tabletext"/>
              <w:jc w:val="center"/>
              <w:rPr>
                <w:sz w:val="22"/>
                <w:szCs w:val="22"/>
              </w:rPr>
            </w:pPr>
            <w:r>
              <w:rPr>
                <w:sz w:val="22"/>
                <w:szCs w:val="22"/>
              </w:rPr>
              <w:t>11/9</w:t>
            </w:r>
          </w:p>
        </w:tc>
        <w:tc>
          <w:tcPr>
            <w:tcW w:w="3870" w:type="dxa"/>
          </w:tcPr>
          <w:p w:rsidR="007767F8" w:rsidRPr="00887631" w:rsidRDefault="007767F8" w:rsidP="00076A89">
            <w:pPr>
              <w:keepNext/>
              <w:keepLines/>
              <w:rPr>
                <w:bCs/>
                <w:color w:val="000000"/>
                <w:sz w:val="22"/>
                <w:szCs w:val="22"/>
              </w:rPr>
            </w:pPr>
            <w:r w:rsidRPr="00887631">
              <w:rPr>
                <w:bCs/>
                <w:color w:val="000000"/>
                <w:sz w:val="22"/>
                <w:szCs w:val="22"/>
              </w:rPr>
              <w:t>Transfer Pricing</w:t>
            </w:r>
          </w:p>
          <w:p w:rsidR="007767F8" w:rsidRPr="00887631" w:rsidRDefault="007767F8" w:rsidP="00076A89">
            <w:pPr>
              <w:keepNext/>
              <w:keepLines/>
              <w:numPr>
                <w:ilvl w:val="0"/>
                <w:numId w:val="13"/>
              </w:numPr>
              <w:rPr>
                <w:color w:val="000000"/>
                <w:sz w:val="22"/>
                <w:szCs w:val="22"/>
              </w:rPr>
            </w:pPr>
            <w:r w:rsidRPr="00887631">
              <w:rPr>
                <w:color w:val="000000"/>
                <w:sz w:val="22"/>
                <w:szCs w:val="22"/>
              </w:rPr>
              <w:t xml:space="preserve">Concept of transfer pricing and what it means for there to be a transfer pricing adjustment </w:t>
            </w:r>
          </w:p>
          <w:p w:rsidR="007767F8" w:rsidRPr="00887631" w:rsidRDefault="007767F8" w:rsidP="00076A89">
            <w:pPr>
              <w:keepNext/>
              <w:keepLines/>
              <w:numPr>
                <w:ilvl w:val="0"/>
                <w:numId w:val="13"/>
              </w:numPr>
              <w:rPr>
                <w:color w:val="000000"/>
                <w:sz w:val="22"/>
                <w:szCs w:val="22"/>
              </w:rPr>
            </w:pPr>
            <w:r w:rsidRPr="00887631">
              <w:rPr>
                <w:color w:val="000000"/>
                <w:sz w:val="22"/>
                <w:szCs w:val="22"/>
              </w:rPr>
              <w:t xml:space="preserve">Review concept of arm’s length standard, functional analysis and comparability adjustments by reviewing examples of the different specified methods of transfer pricing for tangible property: </w:t>
            </w:r>
          </w:p>
          <w:p w:rsidR="007767F8" w:rsidRPr="00887631" w:rsidRDefault="007767F8" w:rsidP="00076A89">
            <w:pPr>
              <w:keepNext/>
              <w:keepLines/>
              <w:numPr>
                <w:ilvl w:val="1"/>
                <w:numId w:val="13"/>
              </w:numPr>
              <w:rPr>
                <w:color w:val="000000"/>
                <w:sz w:val="22"/>
                <w:szCs w:val="22"/>
              </w:rPr>
            </w:pPr>
            <w:r w:rsidRPr="00887631">
              <w:rPr>
                <w:color w:val="000000"/>
                <w:sz w:val="22"/>
                <w:szCs w:val="22"/>
              </w:rPr>
              <w:t xml:space="preserve">CUT </w:t>
            </w:r>
          </w:p>
          <w:p w:rsidR="007767F8" w:rsidRPr="00887631" w:rsidRDefault="007767F8" w:rsidP="00076A89">
            <w:pPr>
              <w:keepNext/>
              <w:keepLines/>
              <w:numPr>
                <w:ilvl w:val="1"/>
                <w:numId w:val="13"/>
              </w:numPr>
              <w:rPr>
                <w:color w:val="000000"/>
                <w:sz w:val="22"/>
                <w:szCs w:val="22"/>
              </w:rPr>
            </w:pPr>
            <w:r w:rsidRPr="00887631">
              <w:rPr>
                <w:color w:val="000000"/>
                <w:sz w:val="22"/>
                <w:szCs w:val="22"/>
              </w:rPr>
              <w:t xml:space="preserve">Resale minus </w:t>
            </w:r>
          </w:p>
          <w:p w:rsidR="007767F8" w:rsidRPr="00887631" w:rsidRDefault="007767F8" w:rsidP="00E42C9A">
            <w:pPr>
              <w:numPr>
                <w:ilvl w:val="1"/>
                <w:numId w:val="13"/>
              </w:numPr>
              <w:rPr>
                <w:color w:val="000000"/>
                <w:sz w:val="22"/>
                <w:szCs w:val="22"/>
              </w:rPr>
            </w:pPr>
            <w:r w:rsidRPr="00887631">
              <w:rPr>
                <w:color w:val="000000"/>
                <w:sz w:val="22"/>
                <w:szCs w:val="22"/>
              </w:rPr>
              <w:t xml:space="preserve">Cost-Plus </w:t>
            </w:r>
          </w:p>
          <w:p w:rsidR="007767F8" w:rsidRDefault="007767F8" w:rsidP="00D128DD">
            <w:pPr>
              <w:numPr>
                <w:ilvl w:val="1"/>
                <w:numId w:val="13"/>
              </w:numPr>
              <w:rPr>
                <w:color w:val="000000"/>
                <w:sz w:val="22"/>
                <w:szCs w:val="22"/>
              </w:rPr>
            </w:pPr>
            <w:r w:rsidRPr="00887631">
              <w:rPr>
                <w:color w:val="000000"/>
                <w:sz w:val="22"/>
                <w:szCs w:val="22"/>
              </w:rPr>
              <w:t>CPM</w:t>
            </w:r>
          </w:p>
          <w:p w:rsidR="003E7B53" w:rsidRPr="00F42746" w:rsidRDefault="003E7B53" w:rsidP="003E7B53">
            <w:pPr>
              <w:rPr>
                <w:color w:val="000000"/>
                <w:sz w:val="22"/>
                <w:szCs w:val="22"/>
              </w:rPr>
            </w:pPr>
            <w:r>
              <w:rPr>
                <w:color w:val="000000"/>
                <w:sz w:val="22"/>
                <w:szCs w:val="22"/>
              </w:rPr>
              <w:t>Review taxation of outbound transactions (FTC and Subpart F) (please bring your questions)</w:t>
            </w:r>
          </w:p>
        </w:tc>
        <w:tc>
          <w:tcPr>
            <w:tcW w:w="4050" w:type="dxa"/>
          </w:tcPr>
          <w:p w:rsidR="007767F8" w:rsidRPr="00887631" w:rsidRDefault="007767F8" w:rsidP="00055B3B">
            <w:pPr>
              <w:rPr>
                <w:sz w:val="22"/>
                <w:szCs w:val="22"/>
              </w:rPr>
            </w:pPr>
            <w:r w:rsidRPr="00887631">
              <w:rPr>
                <w:sz w:val="22"/>
                <w:szCs w:val="22"/>
              </w:rPr>
              <w:t>Nutshell, Chapter 9</w:t>
            </w:r>
          </w:p>
          <w:p w:rsidR="007767F8" w:rsidRPr="00887631" w:rsidRDefault="007767F8" w:rsidP="00055B3B">
            <w:pPr>
              <w:rPr>
                <w:sz w:val="22"/>
                <w:szCs w:val="22"/>
              </w:rPr>
            </w:pPr>
            <w:r w:rsidRPr="00887631">
              <w:rPr>
                <w:sz w:val="22"/>
                <w:szCs w:val="22"/>
              </w:rPr>
              <w:t>IRC 482</w:t>
            </w:r>
            <w:r w:rsidR="0075160B">
              <w:rPr>
                <w:sz w:val="22"/>
                <w:szCs w:val="22"/>
              </w:rPr>
              <w:t>, 6662(e)</w:t>
            </w:r>
          </w:p>
          <w:p w:rsidR="007767F8" w:rsidRPr="00887631" w:rsidRDefault="007767F8" w:rsidP="00055B3B">
            <w:pPr>
              <w:rPr>
                <w:sz w:val="22"/>
                <w:szCs w:val="22"/>
              </w:rPr>
            </w:pPr>
            <w:r w:rsidRPr="00887631">
              <w:rPr>
                <w:sz w:val="22"/>
                <w:szCs w:val="22"/>
              </w:rPr>
              <w:t xml:space="preserve">Treas. Reg. §§ 1.482-1(a), 1.482-1(b), 1.482-1(d)(1) to -1(d)(3)(ii)(C), 1.482-1(e), 1.482-3(b) and 1.482-3(c) </w:t>
            </w:r>
          </w:p>
          <w:p w:rsidR="007767F8" w:rsidRDefault="00185192" w:rsidP="0017205E">
            <w:pPr>
              <w:rPr>
                <w:sz w:val="22"/>
                <w:szCs w:val="22"/>
              </w:rPr>
            </w:pPr>
            <w:r>
              <w:rPr>
                <w:sz w:val="22"/>
                <w:szCs w:val="22"/>
              </w:rPr>
              <w:t xml:space="preserve">Article 9 of 2006 US Model Income Tax Convention and Related Portion of Technical Explanation </w:t>
            </w:r>
          </w:p>
          <w:p w:rsidR="00D04664" w:rsidRDefault="00D04664" w:rsidP="0017205E">
            <w:pPr>
              <w:rPr>
                <w:sz w:val="22"/>
                <w:szCs w:val="22"/>
              </w:rPr>
            </w:pPr>
            <w:r>
              <w:rPr>
                <w:sz w:val="22"/>
                <w:szCs w:val="22"/>
              </w:rPr>
              <w:t xml:space="preserve">IRS </w:t>
            </w:r>
            <w:r w:rsidR="0075160B">
              <w:rPr>
                <w:sz w:val="22"/>
                <w:szCs w:val="22"/>
              </w:rPr>
              <w:t>IPU Manuals, “Overview of Section 482” (August 2015)</w:t>
            </w:r>
          </w:p>
          <w:p w:rsidR="0075160B" w:rsidRDefault="0075160B" w:rsidP="0017205E">
            <w:pPr>
              <w:rPr>
                <w:sz w:val="22"/>
                <w:szCs w:val="22"/>
              </w:rPr>
            </w:pPr>
            <w:r>
              <w:rPr>
                <w:sz w:val="22"/>
                <w:szCs w:val="22"/>
              </w:rPr>
              <w:t xml:space="preserve">“Arms-Length Standard” (December 2014) </w:t>
            </w:r>
          </w:p>
          <w:p w:rsidR="0075160B" w:rsidRDefault="0075160B" w:rsidP="0017205E">
            <w:pPr>
              <w:rPr>
                <w:sz w:val="22"/>
                <w:szCs w:val="22"/>
              </w:rPr>
            </w:pPr>
            <w:r>
              <w:rPr>
                <w:sz w:val="22"/>
                <w:szCs w:val="22"/>
              </w:rPr>
              <w:t>“Sale of Tangible Property from a CFC to USP – CUP” (December 2014)</w:t>
            </w:r>
          </w:p>
          <w:p w:rsidR="0075160B" w:rsidRDefault="0075160B" w:rsidP="0017205E">
            <w:pPr>
              <w:rPr>
                <w:sz w:val="22"/>
                <w:szCs w:val="22"/>
              </w:rPr>
            </w:pPr>
            <w:r>
              <w:rPr>
                <w:sz w:val="22"/>
                <w:szCs w:val="22"/>
              </w:rPr>
              <w:t>“CPM Simple Outbound Distributor” (December 2014)</w:t>
            </w:r>
          </w:p>
          <w:p w:rsidR="0075160B" w:rsidRPr="00887631" w:rsidRDefault="0075160B" w:rsidP="0017205E">
            <w:pPr>
              <w:rPr>
                <w:sz w:val="22"/>
                <w:szCs w:val="22"/>
              </w:rPr>
            </w:pPr>
          </w:p>
        </w:tc>
        <w:tc>
          <w:tcPr>
            <w:tcW w:w="2880" w:type="dxa"/>
          </w:tcPr>
          <w:p w:rsidR="007767F8" w:rsidRPr="00887631" w:rsidRDefault="007767F8" w:rsidP="00055B3B">
            <w:pPr>
              <w:rPr>
                <w:sz w:val="22"/>
                <w:szCs w:val="22"/>
              </w:rPr>
            </w:pPr>
          </w:p>
        </w:tc>
        <w:tc>
          <w:tcPr>
            <w:tcW w:w="1350" w:type="dxa"/>
          </w:tcPr>
          <w:p w:rsidR="007767F8" w:rsidRPr="00887631" w:rsidRDefault="00D04664" w:rsidP="00055B3B">
            <w:pPr>
              <w:rPr>
                <w:sz w:val="22"/>
                <w:szCs w:val="22"/>
              </w:rPr>
            </w:pPr>
            <w:r>
              <w:rPr>
                <w:sz w:val="22"/>
                <w:szCs w:val="22"/>
              </w:rPr>
              <w:t>Assignment #5</w:t>
            </w:r>
          </w:p>
        </w:tc>
      </w:tr>
      <w:tr w:rsidR="007767F8" w:rsidRPr="00887631" w:rsidTr="00887631">
        <w:tc>
          <w:tcPr>
            <w:tcW w:w="450" w:type="dxa"/>
          </w:tcPr>
          <w:p w:rsidR="007767F8" w:rsidRPr="00887631" w:rsidRDefault="007767F8" w:rsidP="00503E2E">
            <w:pPr>
              <w:pStyle w:val="Tabletext"/>
              <w:rPr>
                <w:sz w:val="22"/>
                <w:szCs w:val="22"/>
              </w:rPr>
            </w:pPr>
            <w:r w:rsidRPr="00887631">
              <w:rPr>
                <w:sz w:val="22"/>
                <w:szCs w:val="22"/>
              </w:rPr>
              <w:t>9</w:t>
            </w:r>
          </w:p>
          <w:p w:rsidR="007767F8" w:rsidRPr="00887631" w:rsidRDefault="007767F8" w:rsidP="00503E2E">
            <w:pPr>
              <w:rPr>
                <w:sz w:val="22"/>
                <w:szCs w:val="22"/>
              </w:rPr>
            </w:pPr>
          </w:p>
        </w:tc>
        <w:tc>
          <w:tcPr>
            <w:tcW w:w="1170" w:type="dxa"/>
          </w:tcPr>
          <w:p w:rsidR="007767F8" w:rsidRPr="00887631" w:rsidRDefault="00BD486E" w:rsidP="003630C8">
            <w:pPr>
              <w:pStyle w:val="Tabletext"/>
              <w:jc w:val="center"/>
              <w:rPr>
                <w:sz w:val="22"/>
                <w:szCs w:val="22"/>
              </w:rPr>
            </w:pPr>
            <w:r>
              <w:rPr>
                <w:sz w:val="22"/>
                <w:szCs w:val="22"/>
              </w:rPr>
              <w:t>11/16</w:t>
            </w:r>
          </w:p>
        </w:tc>
        <w:tc>
          <w:tcPr>
            <w:tcW w:w="3870" w:type="dxa"/>
          </w:tcPr>
          <w:p w:rsidR="007767F8" w:rsidRPr="00887631" w:rsidRDefault="0075160B" w:rsidP="003630C8">
            <w:pPr>
              <w:pStyle w:val="Tabletext"/>
              <w:rPr>
                <w:sz w:val="22"/>
                <w:szCs w:val="22"/>
              </w:rPr>
            </w:pPr>
            <w:r>
              <w:rPr>
                <w:sz w:val="22"/>
                <w:szCs w:val="22"/>
              </w:rPr>
              <w:t xml:space="preserve">Overview of tax compliance requirements for </w:t>
            </w:r>
            <w:r w:rsidR="003E7B53">
              <w:rPr>
                <w:sz w:val="22"/>
                <w:szCs w:val="22"/>
              </w:rPr>
              <w:t xml:space="preserve">US Persons with Ownership </w:t>
            </w:r>
            <w:r>
              <w:rPr>
                <w:sz w:val="22"/>
                <w:szCs w:val="22"/>
              </w:rPr>
              <w:t xml:space="preserve">of </w:t>
            </w:r>
            <w:r w:rsidR="003E7B53">
              <w:rPr>
                <w:sz w:val="22"/>
                <w:szCs w:val="22"/>
              </w:rPr>
              <w:t>Foreign Assets and Activities</w:t>
            </w:r>
          </w:p>
          <w:p w:rsidR="007767F8" w:rsidRPr="00887631" w:rsidRDefault="007767F8" w:rsidP="00D128DD">
            <w:pPr>
              <w:rPr>
                <w:sz w:val="22"/>
                <w:szCs w:val="22"/>
              </w:rPr>
            </w:pPr>
          </w:p>
          <w:p w:rsidR="007767F8" w:rsidRPr="00887631" w:rsidRDefault="007767F8" w:rsidP="00D128DD">
            <w:pPr>
              <w:rPr>
                <w:sz w:val="22"/>
                <w:szCs w:val="22"/>
              </w:rPr>
            </w:pPr>
          </w:p>
          <w:p w:rsidR="007767F8" w:rsidRPr="00887631" w:rsidRDefault="007767F8" w:rsidP="00D128DD">
            <w:pPr>
              <w:rPr>
                <w:sz w:val="22"/>
                <w:szCs w:val="22"/>
              </w:rPr>
            </w:pPr>
          </w:p>
          <w:p w:rsidR="007767F8" w:rsidRPr="00887631" w:rsidRDefault="007767F8" w:rsidP="00D128DD">
            <w:pPr>
              <w:rPr>
                <w:sz w:val="22"/>
                <w:szCs w:val="22"/>
              </w:rPr>
            </w:pPr>
          </w:p>
          <w:p w:rsidR="007767F8" w:rsidRPr="00887631" w:rsidRDefault="007767F8" w:rsidP="00D128DD">
            <w:pPr>
              <w:rPr>
                <w:sz w:val="22"/>
                <w:szCs w:val="22"/>
              </w:rPr>
            </w:pPr>
          </w:p>
          <w:p w:rsidR="007767F8" w:rsidRPr="00887631" w:rsidRDefault="007767F8" w:rsidP="00D128DD">
            <w:pPr>
              <w:rPr>
                <w:sz w:val="22"/>
                <w:szCs w:val="22"/>
              </w:rPr>
            </w:pPr>
            <w:r w:rsidRPr="00887631">
              <w:rPr>
                <w:sz w:val="22"/>
                <w:szCs w:val="22"/>
              </w:rPr>
              <w:t>Student presentations</w:t>
            </w:r>
          </w:p>
        </w:tc>
        <w:tc>
          <w:tcPr>
            <w:tcW w:w="4050" w:type="dxa"/>
          </w:tcPr>
          <w:p w:rsidR="007767F8" w:rsidRPr="00887631" w:rsidRDefault="007767F8" w:rsidP="00503E2E">
            <w:pPr>
              <w:pStyle w:val="Tabletext"/>
              <w:rPr>
                <w:sz w:val="22"/>
                <w:szCs w:val="22"/>
              </w:rPr>
            </w:pPr>
            <w:r w:rsidRPr="00887631">
              <w:rPr>
                <w:sz w:val="22"/>
                <w:szCs w:val="22"/>
              </w:rPr>
              <w:t>BNA Portfolio No. 947-1</w:t>
            </w:r>
            <w:r w:rsidRPr="00887631">
              <w:rPr>
                <w:sz w:val="22"/>
                <w:szCs w:val="22"/>
                <w:vertAlign w:val="superscript"/>
              </w:rPr>
              <w:t>st</w:t>
            </w:r>
            <w:r w:rsidRPr="00887631">
              <w:rPr>
                <w:sz w:val="22"/>
                <w:szCs w:val="22"/>
              </w:rPr>
              <w:t>, Reporting Requirements under the Code for International Investments, Chapters III and IV</w:t>
            </w:r>
          </w:p>
          <w:p w:rsidR="007767F8" w:rsidRPr="00887631" w:rsidRDefault="007767F8" w:rsidP="00503E2E">
            <w:pPr>
              <w:pStyle w:val="Tabletext"/>
              <w:rPr>
                <w:sz w:val="22"/>
                <w:szCs w:val="22"/>
              </w:rPr>
            </w:pPr>
            <w:r w:rsidRPr="00887631">
              <w:rPr>
                <w:sz w:val="22"/>
                <w:szCs w:val="22"/>
              </w:rPr>
              <w:t>IRS Form 5471 and Instructions</w:t>
            </w:r>
          </w:p>
          <w:p w:rsidR="007767F8" w:rsidRDefault="007767F8" w:rsidP="00872855">
            <w:pPr>
              <w:rPr>
                <w:sz w:val="22"/>
                <w:szCs w:val="22"/>
              </w:rPr>
            </w:pPr>
            <w:r w:rsidRPr="00887631">
              <w:rPr>
                <w:sz w:val="22"/>
                <w:szCs w:val="22"/>
              </w:rPr>
              <w:t>IRS Form 926 and Instructions</w:t>
            </w:r>
          </w:p>
          <w:p w:rsidR="003E7B53" w:rsidRDefault="003E7B53" w:rsidP="00872855">
            <w:pPr>
              <w:rPr>
                <w:sz w:val="22"/>
                <w:szCs w:val="22"/>
              </w:rPr>
            </w:pPr>
            <w:r>
              <w:rPr>
                <w:sz w:val="22"/>
                <w:szCs w:val="22"/>
              </w:rPr>
              <w:t xml:space="preserve">IRS Form 8938 </w:t>
            </w:r>
          </w:p>
          <w:p w:rsidR="003E7B53" w:rsidRDefault="003E7B53" w:rsidP="00872855">
            <w:pPr>
              <w:rPr>
                <w:sz w:val="22"/>
                <w:szCs w:val="22"/>
              </w:rPr>
            </w:pPr>
            <w:r>
              <w:rPr>
                <w:sz w:val="22"/>
                <w:szCs w:val="22"/>
              </w:rPr>
              <w:t xml:space="preserve">IRS Form 8621 </w:t>
            </w:r>
          </w:p>
          <w:p w:rsidR="0075160B" w:rsidRPr="00887631" w:rsidRDefault="0075160B" w:rsidP="00872855">
            <w:pPr>
              <w:rPr>
                <w:sz w:val="22"/>
                <w:szCs w:val="22"/>
              </w:rPr>
            </w:pPr>
            <w:r>
              <w:rPr>
                <w:sz w:val="22"/>
                <w:szCs w:val="22"/>
              </w:rPr>
              <w:t>FBAR</w:t>
            </w:r>
          </w:p>
          <w:p w:rsidR="007767F8" w:rsidRPr="00887631" w:rsidRDefault="003E7B53" w:rsidP="007A6C1F">
            <w:pPr>
              <w:rPr>
                <w:sz w:val="22"/>
                <w:szCs w:val="22"/>
              </w:rPr>
            </w:pPr>
            <w:r>
              <w:rPr>
                <w:sz w:val="22"/>
                <w:szCs w:val="22"/>
              </w:rPr>
              <w:t>IRC §</w:t>
            </w:r>
            <w:r w:rsidR="0075160B">
              <w:rPr>
                <w:sz w:val="22"/>
                <w:szCs w:val="22"/>
              </w:rPr>
              <w:t>§ 1298(f), 6038, 6038B and 6038D</w:t>
            </w:r>
          </w:p>
        </w:tc>
        <w:tc>
          <w:tcPr>
            <w:tcW w:w="2880" w:type="dxa"/>
          </w:tcPr>
          <w:p w:rsidR="007767F8" w:rsidRPr="00887631" w:rsidRDefault="0075160B" w:rsidP="00503E2E">
            <w:pPr>
              <w:pStyle w:val="Tabletext"/>
              <w:rPr>
                <w:sz w:val="22"/>
                <w:szCs w:val="22"/>
              </w:rPr>
            </w:pPr>
            <w:r>
              <w:rPr>
                <w:sz w:val="22"/>
                <w:szCs w:val="22"/>
              </w:rPr>
              <w:t>See assigned reading</w:t>
            </w:r>
          </w:p>
        </w:tc>
        <w:tc>
          <w:tcPr>
            <w:tcW w:w="1350" w:type="dxa"/>
          </w:tcPr>
          <w:p w:rsidR="007767F8" w:rsidRPr="00887631" w:rsidRDefault="007767F8" w:rsidP="00503E2E">
            <w:pPr>
              <w:pStyle w:val="Tabletext"/>
              <w:rPr>
                <w:sz w:val="22"/>
                <w:szCs w:val="22"/>
              </w:rPr>
            </w:pPr>
          </w:p>
        </w:tc>
      </w:tr>
      <w:tr w:rsidR="0075160B" w:rsidRPr="00887631" w:rsidTr="00887631">
        <w:tc>
          <w:tcPr>
            <w:tcW w:w="450" w:type="dxa"/>
          </w:tcPr>
          <w:p w:rsidR="0075160B" w:rsidRPr="00887631" w:rsidRDefault="0075160B" w:rsidP="00503E2E">
            <w:pPr>
              <w:pStyle w:val="Tabletext"/>
              <w:rPr>
                <w:sz w:val="22"/>
                <w:szCs w:val="22"/>
              </w:rPr>
            </w:pPr>
          </w:p>
        </w:tc>
        <w:tc>
          <w:tcPr>
            <w:tcW w:w="1170" w:type="dxa"/>
          </w:tcPr>
          <w:p w:rsidR="0075160B" w:rsidRDefault="0075160B" w:rsidP="003630C8">
            <w:pPr>
              <w:pStyle w:val="Tabletext"/>
              <w:jc w:val="center"/>
              <w:rPr>
                <w:sz w:val="22"/>
                <w:szCs w:val="22"/>
              </w:rPr>
            </w:pPr>
            <w:r>
              <w:rPr>
                <w:sz w:val="22"/>
                <w:szCs w:val="22"/>
              </w:rPr>
              <w:t>Thursday, 12/3</w:t>
            </w:r>
          </w:p>
          <w:p w:rsidR="0075160B" w:rsidRPr="0075160B" w:rsidRDefault="0075160B" w:rsidP="0075160B">
            <w:r>
              <w:t>6:00 pm</w:t>
            </w:r>
          </w:p>
        </w:tc>
        <w:tc>
          <w:tcPr>
            <w:tcW w:w="3870" w:type="dxa"/>
          </w:tcPr>
          <w:p w:rsidR="0075160B" w:rsidRPr="00887631" w:rsidRDefault="0075160B" w:rsidP="003630C8">
            <w:pPr>
              <w:pStyle w:val="Tabletext"/>
              <w:rPr>
                <w:sz w:val="22"/>
                <w:szCs w:val="22"/>
              </w:rPr>
            </w:pPr>
            <w:r>
              <w:rPr>
                <w:sz w:val="22"/>
                <w:szCs w:val="22"/>
              </w:rPr>
              <w:t>Optional Review Session for Final Exam at 2933 Bunker Hill  – Please bring your questions</w:t>
            </w:r>
          </w:p>
        </w:tc>
        <w:tc>
          <w:tcPr>
            <w:tcW w:w="4050" w:type="dxa"/>
          </w:tcPr>
          <w:p w:rsidR="0075160B" w:rsidRPr="00887631" w:rsidRDefault="0075160B" w:rsidP="00503E2E">
            <w:pPr>
              <w:pStyle w:val="Tabletext"/>
              <w:rPr>
                <w:sz w:val="22"/>
                <w:szCs w:val="22"/>
              </w:rPr>
            </w:pPr>
          </w:p>
        </w:tc>
        <w:tc>
          <w:tcPr>
            <w:tcW w:w="2880" w:type="dxa"/>
          </w:tcPr>
          <w:p w:rsidR="0075160B" w:rsidRPr="00887631" w:rsidRDefault="0075160B" w:rsidP="00503E2E">
            <w:pPr>
              <w:pStyle w:val="Tabletext"/>
              <w:rPr>
                <w:sz w:val="22"/>
                <w:szCs w:val="22"/>
              </w:rPr>
            </w:pPr>
          </w:p>
        </w:tc>
        <w:tc>
          <w:tcPr>
            <w:tcW w:w="1350" w:type="dxa"/>
          </w:tcPr>
          <w:p w:rsidR="0075160B" w:rsidRPr="00887631" w:rsidRDefault="0075160B" w:rsidP="00503E2E">
            <w:pPr>
              <w:pStyle w:val="Tabletext"/>
              <w:rPr>
                <w:sz w:val="22"/>
                <w:szCs w:val="22"/>
              </w:rPr>
            </w:pPr>
          </w:p>
        </w:tc>
      </w:tr>
      <w:tr w:rsidR="007767F8" w:rsidRPr="00887631" w:rsidTr="00887631">
        <w:tc>
          <w:tcPr>
            <w:tcW w:w="450" w:type="dxa"/>
          </w:tcPr>
          <w:p w:rsidR="007767F8" w:rsidRPr="00887631" w:rsidRDefault="007767F8" w:rsidP="00772C7D">
            <w:pPr>
              <w:pStyle w:val="Tabletext"/>
              <w:rPr>
                <w:sz w:val="22"/>
                <w:szCs w:val="22"/>
              </w:rPr>
            </w:pPr>
            <w:r w:rsidRPr="00887631">
              <w:rPr>
                <w:sz w:val="22"/>
                <w:szCs w:val="22"/>
              </w:rPr>
              <w:t>10</w:t>
            </w:r>
          </w:p>
        </w:tc>
        <w:tc>
          <w:tcPr>
            <w:tcW w:w="1170" w:type="dxa"/>
          </w:tcPr>
          <w:p w:rsidR="007767F8" w:rsidRPr="00887631" w:rsidRDefault="00BD486E" w:rsidP="003630C8">
            <w:pPr>
              <w:pStyle w:val="Tabletext"/>
              <w:jc w:val="center"/>
              <w:rPr>
                <w:sz w:val="22"/>
                <w:szCs w:val="22"/>
              </w:rPr>
            </w:pPr>
            <w:r>
              <w:rPr>
                <w:sz w:val="22"/>
                <w:szCs w:val="22"/>
              </w:rPr>
              <w:t>12/7</w:t>
            </w:r>
          </w:p>
        </w:tc>
        <w:tc>
          <w:tcPr>
            <w:tcW w:w="3870" w:type="dxa"/>
          </w:tcPr>
          <w:p w:rsidR="007767F8" w:rsidRPr="00887631" w:rsidRDefault="007767F8" w:rsidP="003630C8">
            <w:pPr>
              <w:pStyle w:val="Tabletext"/>
              <w:rPr>
                <w:sz w:val="22"/>
                <w:szCs w:val="22"/>
              </w:rPr>
            </w:pPr>
            <w:r w:rsidRPr="00887631">
              <w:rPr>
                <w:sz w:val="22"/>
                <w:szCs w:val="22"/>
              </w:rPr>
              <w:t>Final Exam</w:t>
            </w:r>
          </w:p>
        </w:tc>
        <w:tc>
          <w:tcPr>
            <w:tcW w:w="4050" w:type="dxa"/>
          </w:tcPr>
          <w:p w:rsidR="007767F8" w:rsidRPr="00887631" w:rsidRDefault="007767F8" w:rsidP="00503E2E">
            <w:pPr>
              <w:pStyle w:val="Tabletext"/>
              <w:rPr>
                <w:sz w:val="22"/>
                <w:szCs w:val="22"/>
              </w:rPr>
            </w:pPr>
          </w:p>
        </w:tc>
        <w:tc>
          <w:tcPr>
            <w:tcW w:w="2880" w:type="dxa"/>
          </w:tcPr>
          <w:p w:rsidR="007767F8" w:rsidRPr="00887631" w:rsidRDefault="007767F8" w:rsidP="00503E2E">
            <w:pPr>
              <w:pStyle w:val="Tabletext"/>
              <w:rPr>
                <w:sz w:val="22"/>
                <w:szCs w:val="22"/>
              </w:rPr>
            </w:pPr>
          </w:p>
        </w:tc>
        <w:tc>
          <w:tcPr>
            <w:tcW w:w="1350" w:type="dxa"/>
          </w:tcPr>
          <w:p w:rsidR="007767F8" w:rsidRPr="00887631" w:rsidRDefault="007767F8" w:rsidP="00503E2E">
            <w:pPr>
              <w:pStyle w:val="Tabletext"/>
              <w:rPr>
                <w:sz w:val="22"/>
                <w:szCs w:val="22"/>
              </w:rPr>
            </w:pPr>
          </w:p>
        </w:tc>
      </w:tr>
    </w:tbl>
    <w:p w:rsidR="00503E2E" w:rsidRPr="00887631" w:rsidRDefault="00503E2E" w:rsidP="00503E2E">
      <w:pPr>
        <w:rPr>
          <w:sz w:val="22"/>
          <w:szCs w:val="22"/>
        </w:rPr>
      </w:pPr>
    </w:p>
    <w:p w:rsidR="001E30E5" w:rsidRPr="00887631" w:rsidRDefault="0075160B" w:rsidP="001E30E5">
      <w:pPr>
        <w:pStyle w:val="Heading3"/>
        <w:rPr>
          <w:sz w:val="22"/>
          <w:szCs w:val="22"/>
        </w:rPr>
      </w:pPr>
      <w:r>
        <w:rPr>
          <w:sz w:val="22"/>
          <w:szCs w:val="22"/>
        </w:rPr>
        <w:t xml:space="preserve">Graded Homework </w:t>
      </w:r>
      <w:r w:rsidR="001E30E5" w:rsidRPr="00887631">
        <w:rPr>
          <w:sz w:val="22"/>
          <w:szCs w:val="22"/>
        </w:rPr>
        <w:t>Assignments</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080"/>
        <w:gridCol w:w="12528"/>
      </w:tblGrid>
      <w:tr w:rsidR="00C8556A" w:rsidRPr="00887631" w:rsidTr="00C8556A">
        <w:tc>
          <w:tcPr>
            <w:tcW w:w="1080" w:type="dxa"/>
          </w:tcPr>
          <w:p w:rsidR="00C8556A" w:rsidRPr="00E10A67" w:rsidRDefault="00C8556A" w:rsidP="00E42C9A">
            <w:pPr>
              <w:pStyle w:val="Tabletext"/>
              <w:jc w:val="center"/>
              <w:rPr>
                <w:b/>
                <w:sz w:val="22"/>
                <w:szCs w:val="22"/>
              </w:rPr>
            </w:pPr>
            <w:r w:rsidRPr="00E10A67">
              <w:rPr>
                <w:b/>
                <w:sz w:val="22"/>
                <w:szCs w:val="22"/>
              </w:rPr>
              <w:t>#</w:t>
            </w:r>
          </w:p>
        </w:tc>
        <w:tc>
          <w:tcPr>
            <w:tcW w:w="1080" w:type="dxa"/>
          </w:tcPr>
          <w:p w:rsidR="00C8556A" w:rsidRPr="00E10A67" w:rsidRDefault="00C8556A" w:rsidP="00E42C9A">
            <w:pPr>
              <w:pStyle w:val="Tabletext"/>
              <w:jc w:val="center"/>
              <w:rPr>
                <w:b/>
                <w:sz w:val="22"/>
                <w:szCs w:val="22"/>
              </w:rPr>
            </w:pPr>
            <w:r w:rsidRPr="00E10A67">
              <w:rPr>
                <w:b/>
                <w:sz w:val="22"/>
                <w:szCs w:val="22"/>
              </w:rPr>
              <w:t>DUE</w:t>
            </w:r>
          </w:p>
        </w:tc>
        <w:tc>
          <w:tcPr>
            <w:tcW w:w="12528" w:type="dxa"/>
          </w:tcPr>
          <w:p w:rsidR="00C8556A" w:rsidRPr="00E10A67" w:rsidRDefault="00C8556A" w:rsidP="001E30E5">
            <w:pPr>
              <w:pStyle w:val="Tabletext"/>
              <w:jc w:val="center"/>
              <w:rPr>
                <w:b/>
                <w:sz w:val="22"/>
                <w:szCs w:val="22"/>
              </w:rPr>
            </w:pPr>
            <w:r w:rsidRPr="00E10A67">
              <w:rPr>
                <w:b/>
                <w:sz w:val="22"/>
                <w:szCs w:val="22"/>
              </w:rPr>
              <w:t>ASSIGNMENT</w:t>
            </w:r>
          </w:p>
        </w:tc>
      </w:tr>
      <w:tr w:rsidR="00C8556A" w:rsidRPr="00887631" w:rsidTr="00C8556A">
        <w:tc>
          <w:tcPr>
            <w:tcW w:w="1080" w:type="dxa"/>
          </w:tcPr>
          <w:p w:rsidR="00C8556A" w:rsidRDefault="00C8556A" w:rsidP="00E42C9A">
            <w:pPr>
              <w:pStyle w:val="Tabletext"/>
              <w:jc w:val="center"/>
              <w:rPr>
                <w:sz w:val="22"/>
                <w:szCs w:val="22"/>
              </w:rPr>
            </w:pPr>
          </w:p>
        </w:tc>
        <w:tc>
          <w:tcPr>
            <w:tcW w:w="1080" w:type="dxa"/>
          </w:tcPr>
          <w:p w:rsidR="00C8556A" w:rsidRDefault="00C8556A" w:rsidP="00E42C9A">
            <w:pPr>
              <w:pStyle w:val="Tabletext"/>
              <w:jc w:val="center"/>
              <w:rPr>
                <w:sz w:val="22"/>
                <w:szCs w:val="22"/>
              </w:rPr>
            </w:pPr>
            <w:r>
              <w:rPr>
                <w:sz w:val="22"/>
                <w:szCs w:val="22"/>
              </w:rPr>
              <w:t>9/21</w:t>
            </w:r>
          </w:p>
        </w:tc>
        <w:tc>
          <w:tcPr>
            <w:tcW w:w="12528" w:type="dxa"/>
          </w:tcPr>
          <w:p w:rsidR="00C8556A" w:rsidRPr="00887631" w:rsidRDefault="00C8556A" w:rsidP="008D2E42">
            <w:pPr>
              <w:pStyle w:val="Tabletext"/>
              <w:rPr>
                <w:sz w:val="22"/>
                <w:szCs w:val="22"/>
              </w:rPr>
            </w:pPr>
            <w:r>
              <w:rPr>
                <w:sz w:val="22"/>
                <w:szCs w:val="22"/>
              </w:rPr>
              <w:t>First class – no assignment other than reading</w:t>
            </w:r>
          </w:p>
        </w:tc>
      </w:tr>
      <w:tr w:rsidR="00C8556A" w:rsidRPr="00887631" w:rsidTr="00C8556A">
        <w:tc>
          <w:tcPr>
            <w:tcW w:w="1080" w:type="dxa"/>
          </w:tcPr>
          <w:p w:rsidR="00C8556A" w:rsidRDefault="00C8556A" w:rsidP="00E42C9A">
            <w:pPr>
              <w:pStyle w:val="Tabletext"/>
              <w:jc w:val="center"/>
              <w:rPr>
                <w:sz w:val="22"/>
                <w:szCs w:val="22"/>
              </w:rPr>
            </w:pPr>
            <w:r>
              <w:rPr>
                <w:sz w:val="22"/>
                <w:szCs w:val="22"/>
              </w:rPr>
              <w:t>1</w:t>
            </w:r>
          </w:p>
        </w:tc>
        <w:tc>
          <w:tcPr>
            <w:tcW w:w="1080" w:type="dxa"/>
          </w:tcPr>
          <w:p w:rsidR="00C8556A" w:rsidRPr="00887631" w:rsidRDefault="00C8556A" w:rsidP="00E42C9A">
            <w:pPr>
              <w:pStyle w:val="Tabletext"/>
              <w:jc w:val="center"/>
              <w:rPr>
                <w:sz w:val="22"/>
                <w:szCs w:val="22"/>
              </w:rPr>
            </w:pPr>
            <w:r>
              <w:rPr>
                <w:sz w:val="22"/>
                <w:szCs w:val="22"/>
              </w:rPr>
              <w:t>9/26</w:t>
            </w:r>
          </w:p>
        </w:tc>
        <w:tc>
          <w:tcPr>
            <w:tcW w:w="12528" w:type="dxa"/>
          </w:tcPr>
          <w:p w:rsidR="00C8556A" w:rsidRPr="00887631" w:rsidRDefault="00C8556A" w:rsidP="008D2E42">
            <w:pPr>
              <w:pStyle w:val="Tabletext"/>
              <w:rPr>
                <w:sz w:val="22"/>
                <w:szCs w:val="22"/>
              </w:rPr>
            </w:pPr>
            <w:r w:rsidRPr="00887631">
              <w:rPr>
                <w:sz w:val="22"/>
                <w:szCs w:val="22"/>
              </w:rPr>
              <w:t>20 points</w:t>
            </w:r>
          </w:p>
          <w:p w:rsidR="00C8556A" w:rsidRPr="00887631" w:rsidRDefault="00C8556A" w:rsidP="00E42C9A">
            <w:pPr>
              <w:pStyle w:val="Tabletext"/>
              <w:numPr>
                <w:ilvl w:val="0"/>
                <w:numId w:val="7"/>
              </w:numPr>
              <w:rPr>
                <w:sz w:val="22"/>
                <w:szCs w:val="22"/>
              </w:rPr>
            </w:pPr>
            <w:r w:rsidRPr="00887631">
              <w:rPr>
                <w:sz w:val="22"/>
                <w:szCs w:val="22"/>
              </w:rPr>
              <w:t>Obtain the annual report of a Fortune 500 company. Review it to learn of its worldwide operational structure in terms of parent and subsidiary operations. Find out where it headquarters is, key manufacturing (or similar operations), offices, and employees. List the countries where it has operations. Review the income tax footnote and disclosure and summarize any international issues noted there.</w:t>
            </w:r>
          </w:p>
          <w:p w:rsidR="00C8556A" w:rsidRPr="00887631" w:rsidRDefault="00C8556A" w:rsidP="00D42A63">
            <w:pPr>
              <w:numPr>
                <w:ilvl w:val="0"/>
                <w:numId w:val="7"/>
              </w:numPr>
              <w:rPr>
                <w:sz w:val="22"/>
                <w:szCs w:val="22"/>
              </w:rPr>
            </w:pPr>
            <w:r w:rsidRPr="00887631">
              <w:rPr>
                <w:sz w:val="22"/>
                <w:szCs w:val="22"/>
              </w:rPr>
              <w:t xml:space="preserve">Assume you own a jewelry store.  You want to start selling online. </w:t>
            </w:r>
            <w:r>
              <w:rPr>
                <w:sz w:val="22"/>
                <w:szCs w:val="22"/>
              </w:rPr>
              <w:t xml:space="preserve"> </w:t>
            </w:r>
            <w:r w:rsidRPr="00887631">
              <w:rPr>
                <w:sz w:val="22"/>
                <w:szCs w:val="22"/>
              </w:rPr>
              <w:t>List the income tax considerations you think you’ll have to deal with if you have customers in the EU and Japan.</w:t>
            </w:r>
          </w:p>
        </w:tc>
      </w:tr>
      <w:tr w:rsidR="00C8556A" w:rsidRPr="00887631" w:rsidTr="00C8556A">
        <w:tc>
          <w:tcPr>
            <w:tcW w:w="1080" w:type="dxa"/>
          </w:tcPr>
          <w:p w:rsidR="00C8556A" w:rsidRDefault="00C8556A" w:rsidP="00E42C9A">
            <w:pPr>
              <w:pStyle w:val="Tabletext"/>
              <w:jc w:val="center"/>
              <w:rPr>
                <w:sz w:val="22"/>
                <w:szCs w:val="22"/>
              </w:rPr>
            </w:pPr>
            <w:r>
              <w:rPr>
                <w:sz w:val="22"/>
                <w:szCs w:val="22"/>
              </w:rPr>
              <w:t>2</w:t>
            </w:r>
          </w:p>
        </w:tc>
        <w:tc>
          <w:tcPr>
            <w:tcW w:w="1080" w:type="dxa"/>
          </w:tcPr>
          <w:p w:rsidR="00C8556A" w:rsidRPr="00887631" w:rsidRDefault="00C8556A" w:rsidP="00E42C9A">
            <w:pPr>
              <w:pStyle w:val="Tabletext"/>
              <w:jc w:val="center"/>
              <w:rPr>
                <w:sz w:val="22"/>
                <w:szCs w:val="22"/>
              </w:rPr>
            </w:pPr>
            <w:r>
              <w:rPr>
                <w:sz w:val="22"/>
                <w:szCs w:val="22"/>
              </w:rPr>
              <w:t>10/5</w:t>
            </w:r>
          </w:p>
        </w:tc>
        <w:tc>
          <w:tcPr>
            <w:tcW w:w="12528" w:type="dxa"/>
          </w:tcPr>
          <w:p w:rsidR="00C8556A" w:rsidRPr="00887631" w:rsidRDefault="00C8556A" w:rsidP="008D2E42">
            <w:pPr>
              <w:pStyle w:val="Tabletext"/>
              <w:rPr>
                <w:sz w:val="22"/>
                <w:szCs w:val="22"/>
              </w:rPr>
            </w:pPr>
            <w:r w:rsidRPr="00887631">
              <w:rPr>
                <w:sz w:val="22"/>
                <w:szCs w:val="22"/>
              </w:rPr>
              <w:t>20 points</w:t>
            </w:r>
          </w:p>
          <w:p w:rsidR="00C8556A" w:rsidRPr="00887631" w:rsidRDefault="00C8556A" w:rsidP="00C8556A">
            <w:pPr>
              <w:pStyle w:val="Tabletext"/>
              <w:numPr>
                <w:ilvl w:val="0"/>
                <w:numId w:val="7"/>
              </w:numPr>
              <w:rPr>
                <w:sz w:val="22"/>
                <w:szCs w:val="22"/>
              </w:rPr>
            </w:pPr>
            <w:r w:rsidRPr="00887631">
              <w:rPr>
                <w:sz w:val="22"/>
                <w:szCs w:val="22"/>
              </w:rPr>
              <w:t>Answer Problems in H</w:t>
            </w:r>
            <w:r>
              <w:rPr>
                <w:sz w:val="22"/>
                <w:szCs w:val="22"/>
              </w:rPr>
              <w:t>andout (</w:t>
            </w:r>
            <w:r w:rsidRPr="00887631">
              <w:rPr>
                <w:sz w:val="22"/>
                <w:szCs w:val="22"/>
              </w:rPr>
              <w:t>Source of Income).</w:t>
            </w:r>
          </w:p>
        </w:tc>
      </w:tr>
      <w:tr w:rsidR="00C8556A" w:rsidRPr="00887631" w:rsidTr="00C8556A">
        <w:trPr>
          <w:trHeight w:val="1070"/>
        </w:trPr>
        <w:tc>
          <w:tcPr>
            <w:tcW w:w="1080" w:type="dxa"/>
          </w:tcPr>
          <w:p w:rsidR="00C8556A" w:rsidRDefault="00C8556A" w:rsidP="00E42C9A">
            <w:pPr>
              <w:pStyle w:val="Tabletext"/>
              <w:jc w:val="center"/>
              <w:rPr>
                <w:sz w:val="22"/>
                <w:szCs w:val="22"/>
              </w:rPr>
            </w:pPr>
            <w:r>
              <w:rPr>
                <w:sz w:val="22"/>
                <w:szCs w:val="22"/>
              </w:rPr>
              <w:t>3</w:t>
            </w:r>
          </w:p>
        </w:tc>
        <w:tc>
          <w:tcPr>
            <w:tcW w:w="1080" w:type="dxa"/>
          </w:tcPr>
          <w:p w:rsidR="00C8556A" w:rsidRPr="00887631" w:rsidRDefault="00C8556A" w:rsidP="00E42C9A">
            <w:pPr>
              <w:pStyle w:val="Tabletext"/>
              <w:jc w:val="center"/>
              <w:rPr>
                <w:sz w:val="22"/>
                <w:szCs w:val="22"/>
              </w:rPr>
            </w:pPr>
            <w:r>
              <w:rPr>
                <w:sz w:val="22"/>
                <w:szCs w:val="22"/>
              </w:rPr>
              <w:t>10/12</w:t>
            </w:r>
          </w:p>
        </w:tc>
        <w:tc>
          <w:tcPr>
            <w:tcW w:w="12528" w:type="dxa"/>
          </w:tcPr>
          <w:p w:rsidR="00C8556A" w:rsidRPr="00887631" w:rsidRDefault="00C8556A" w:rsidP="008D2E42">
            <w:pPr>
              <w:pStyle w:val="Tabletext"/>
              <w:rPr>
                <w:sz w:val="22"/>
                <w:szCs w:val="22"/>
              </w:rPr>
            </w:pPr>
            <w:r w:rsidRPr="00887631">
              <w:rPr>
                <w:sz w:val="22"/>
                <w:szCs w:val="22"/>
              </w:rPr>
              <w:t>20 points</w:t>
            </w:r>
          </w:p>
          <w:p w:rsidR="00C8556A" w:rsidRPr="00887631" w:rsidRDefault="00C8556A" w:rsidP="00E42C9A">
            <w:pPr>
              <w:pStyle w:val="Tabletext"/>
              <w:numPr>
                <w:ilvl w:val="0"/>
                <w:numId w:val="7"/>
              </w:numPr>
              <w:rPr>
                <w:sz w:val="22"/>
                <w:szCs w:val="22"/>
              </w:rPr>
            </w:pPr>
            <w:r w:rsidRPr="00887631">
              <w:rPr>
                <w:sz w:val="22"/>
                <w:szCs w:val="22"/>
              </w:rPr>
              <w:t>Read the US tax treaty with the UK (available on the IRS website) and prepare an outline of the topics covered.</w:t>
            </w:r>
          </w:p>
          <w:p w:rsidR="00C8556A" w:rsidRPr="00887631" w:rsidRDefault="00C8556A" w:rsidP="002A7DE6">
            <w:pPr>
              <w:numPr>
                <w:ilvl w:val="0"/>
                <w:numId w:val="7"/>
              </w:numPr>
              <w:rPr>
                <w:sz w:val="22"/>
                <w:szCs w:val="22"/>
              </w:rPr>
            </w:pPr>
            <w:r w:rsidRPr="00887631">
              <w:rPr>
                <w:sz w:val="22"/>
                <w:szCs w:val="22"/>
              </w:rPr>
              <w:t>In which circumstances will withholding of U.S. taxes on fixed, determinable, annual or periodic income be required.  Please explain what statutory and/or Treaty rule you are applying:</w:t>
            </w:r>
          </w:p>
          <w:p w:rsidR="00C8556A" w:rsidRPr="00887631" w:rsidRDefault="00C8556A" w:rsidP="002A7DE6">
            <w:pPr>
              <w:numPr>
                <w:ilvl w:val="1"/>
                <w:numId w:val="7"/>
              </w:numPr>
              <w:rPr>
                <w:sz w:val="22"/>
                <w:szCs w:val="22"/>
              </w:rPr>
            </w:pPr>
            <w:r w:rsidRPr="00887631">
              <w:rPr>
                <w:sz w:val="22"/>
                <w:szCs w:val="22"/>
              </w:rPr>
              <w:t>US company with earnings and profits of $200 million distributes $150 million in quarterly dividends to its shareholders.</w:t>
            </w:r>
          </w:p>
          <w:p w:rsidR="00C8556A" w:rsidRPr="00887631" w:rsidRDefault="00C8556A" w:rsidP="002A7DE6">
            <w:pPr>
              <w:numPr>
                <w:ilvl w:val="1"/>
                <w:numId w:val="7"/>
              </w:numPr>
              <w:rPr>
                <w:sz w:val="22"/>
                <w:szCs w:val="22"/>
              </w:rPr>
            </w:pPr>
            <w:r w:rsidRPr="00887631">
              <w:rPr>
                <w:sz w:val="22"/>
                <w:szCs w:val="22"/>
              </w:rPr>
              <w:t>US company pays interest coupons on bonds held by individual investors in Europe.</w:t>
            </w:r>
          </w:p>
          <w:p w:rsidR="00C8556A" w:rsidRPr="00887631" w:rsidRDefault="00C8556A" w:rsidP="004A4CE5">
            <w:pPr>
              <w:numPr>
                <w:ilvl w:val="1"/>
                <w:numId w:val="7"/>
              </w:numPr>
              <w:rPr>
                <w:sz w:val="22"/>
                <w:szCs w:val="22"/>
              </w:rPr>
            </w:pPr>
            <w:r w:rsidRPr="00887631">
              <w:rPr>
                <w:sz w:val="22"/>
                <w:szCs w:val="22"/>
              </w:rPr>
              <w:t xml:space="preserve">UK parent company licenses IP to its wholly owned US subsidiary to make and sell patented products in the United States. </w:t>
            </w:r>
          </w:p>
          <w:p w:rsidR="00C8556A" w:rsidRDefault="00C8556A" w:rsidP="00B44AC3">
            <w:pPr>
              <w:numPr>
                <w:ilvl w:val="1"/>
                <w:numId w:val="7"/>
              </w:numPr>
              <w:rPr>
                <w:sz w:val="22"/>
                <w:szCs w:val="22"/>
              </w:rPr>
            </w:pPr>
            <w:r w:rsidRPr="00887631">
              <w:rPr>
                <w:sz w:val="22"/>
                <w:szCs w:val="22"/>
              </w:rPr>
              <w:t xml:space="preserve">Chinese individual resident outside the United States recognizes capital gains on sale of portfolio of stock in a U.S. company </w:t>
            </w:r>
          </w:p>
          <w:p w:rsidR="00C8556A" w:rsidRPr="00887631" w:rsidRDefault="00C8556A" w:rsidP="00C8556A">
            <w:pPr>
              <w:numPr>
                <w:ilvl w:val="0"/>
                <w:numId w:val="17"/>
              </w:numPr>
              <w:rPr>
                <w:sz w:val="22"/>
                <w:szCs w:val="22"/>
              </w:rPr>
            </w:pPr>
            <w:r>
              <w:rPr>
                <w:sz w:val="22"/>
                <w:szCs w:val="22"/>
              </w:rPr>
              <w:t>Complete the US tax compliance matrix for non-resident aliens in handout #2</w:t>
            </w:r>
          </w:p>
        </w:tc>
      </w:tr>
      <w:tr w:rsidR="00C8556A" w:rsidRPr="00887631" w:rsidTr="00C8556A">
        <w:tc>
          <w:tcPr>
            <w:tcW w:w="1080" w:type="dxa"/>
          </w:tcPr>
          <w:p w:rsidR="00C8556A" w:rsidRDefault="00C8556A" w:rsidP="00E42C9A">
            <w:pPr>
              <w:pStyle w:val="Tabletext"/>
              <w:jc w:val="center"/>
              <w:rPr>
                <w:sz w:val="22"/>
                <w:szCs w:val="22"/>
              </w:rPr>
            </w:pPr>
          </w:p>
        </w:tc>
        <w:tc>
          <w:tcPr>
            <w:tcW w:w="1080" w:type="dxa"/>
          </w:tcPr>
          <w:p w:rsidR="00C8556A" w:rsidRPr="00887631" w:rsidRDefault="00C8556A" w:rsidP="00E42C9A">
            <w:pPr>
              <w:pStyle w:val="Tabletext"/>
              <w:jc w:val="center"/>
              <w:rPr>
                <w:sz w:val="22"/>
                <w:szCs w:val="22"/>
              </w:rPr>
            </w:pPr>
            <w:r>
              <w:rPr>
                <w:sz w:val="22"/>
                <w:szCs w:val="22"/>
              </w:rPr>
              <w:t>10/19</w:t>
            </w:r>
          </w:p>
        </w:tc>
        <w:tc>
          <w:tcPr>
            <w:tcW w:w="12528" w:type="dxa"/>
          </w:tcPr>
          <w:p w:rsidR="00C8556A" w:rsidRPr="00C8556A" w:rsidRDefault="00C8556A" w:rsidP="00C8556A">
            <w:pPr>
              <w:pStyle w:val="Tabletext"/>
              <w:rPr>
                <w:sz w:val="22"/>
                <w:szCs w:val="22"/>
              </w:rPr>
            </w:pPr>
            <w:r>
              <w:rPr>
                <w:sz w:val="22"/>
                <w:szCs w:val="22"/>
              </w:rPr>
              <w:t>No assignment – reading only</w:t>
            </w:r>
          </w:p>
          <w:p w:rsidR="00C8556A" w:rsidRPr="00887631" w:rsidRDefault="00C8556A" w:rsidP="00E845B9">
            <w:pPr>
              <w:rPr>
                <w:sz w:val="22"/>
                <w:szCs w:val="22"/>
              </w:rPr>
            </w:pPr>
          </w:p>
        </w:tc>
      </w:tr>
      <w:tr w:rsidR="00C8556A" w:rsidRPr="00887631" w:rsidTr="00C8556A">
        <w:tc>
          <w:tcPr>
            <w:tcW w:w="1080" w:type="dxa"/>
          </w:tcPr>
          <w:p w:rsidR="00C8556A" w:rsidRDefault="00C8556A" w:rsidP="00E42C9A">
            <w:pPr>
              <w:pStyle w:val="Tabletext"/>
              <w:jc w:val="center"/>
              <w:rPr>
                <w:sz w:val="22"/>
                <w:szCs w:val="22"/>
              </w:rPr>
            </w:pPr>
            <w:r>
              <w:rPr>
                <w:sz w:val="22"/>
                <w:szCs w:val="22"/>
              </w:rPr>
              <w:t>4</w:t>
            </w:r>
          </w:p>
        </w:tc>
        <w:tc>
          <w:tcPr>
            <w:tcW w:w="1080" w:type="dxa"/>
          </w:tcPr>
          <w:p w:rsidR="00C8556A" w:rsidRPr="00887631" w:rsidRDefault="00C8556A" w:rsidP="00E42C9A">
            <w:pPr>
              <w:pStyle w:val="Tabletext"/>
              <w:jc w:val="center"/>
              <w:rPr>
                <w:sz w:val="22"/>
                <w:szCs w:val="22"/>
              </w:rPr>
            </w:pPr>
            <w:r>
              <w:rPr>
                <w:sz w:val="22"/>
                <w:szCs w:val="22"/>
              </w:rPr>
              <w:t>10/26</w:t>
            </w:r>
          </w:p>
        </w:tc>
        <w:tc>
          <w:tcPr>
            <w:tcW w:w="12528" w:type="dxa"/>
          </w:tcPr>
          <w:p w:rsidR="00C8556A" w:rsidRPr="00887631" w:rsidRDefault="00C8556A" w:rsidP="00C8556A">
            <w:pPr>
              <w:pStyle w:val="Tabletext"/>
              <w:rPr>
                <w:sz w:val="22"/>
                <w:szCs w:val="22"/>
              </w:rPr>
            </w:pPr>
            <w:r w:rsidRPr="00887631">
              <w:rPr>
                <w:sz w:val="22"/>
                <w:szCs w:val="22"/>
              </w:rPr>
              <w:t>20 points</w:t>
            </w:r>
          </w:p>
          <w:p w:rsidR="00C8556A" w:rsidRPr="00887631" w:rsidRDefault="00C8556A" w:rsidP="00C8556A">
            <w:pPr>
              <w:rPr>
                <w:sz w:val="22"/>
                <w:szCs w:val="22"/>
              </w:rPr>
            </w:pPr>
            <w:r w:rsidRPr="00887631">
              <w:rPr>
                <w:sz w:val="22"/>
                <w:szCs w:val="22"/>
              </w:rPr>
              <w:t xml:space="preserve">Answer Problems in </w:t>
            </w:r>
            <w:r>
              <w:rPr>
                <w:sz w:val="22"/>
                <w:szCs w:val="22"/>
                <w:u w:val="single"/>
              </w:rPr>
              <w:t>Handout #3</w:t>
            </w:r>
            <w:r w:rsidRPr="00887631">
              <w:rPr>
                <w:sz w:val="22"/>
                <w:szCs w:val="22"/>
              </w:rPr>
              <w:t xml:space="preserve"> (Foreign Tax Credit and FTC Limitation).</w:t>
            </w:r>
          </w:p>
        </w:tc>
      </w:tr>
      <w:tr w:rsidR="00C8556A" w:rsidRPr="00887631" w:rsidTr="00C8556A">
        <w:tc>
          <w:tcPr>
            <w:tcW w:w="1080" w:type="dxa"/>
          </w:tcPr>
          <w:p w:rsidR="00C8556A" w:rsidRDefault="00C8556A" w:rsidP="00E42C9A">
            <w:pPr>
              <w:pStyle w:val="Tabletext"/>
              <w:jc w:val="center"/>
              <w:rPr>
                <w:sz w:val="22"/>
                <w:szCs w:val="22"/>
              </w:rPr>
            </w:pPr>
          </w:p>
        </w:tc>
        <w:tc>
          <w:tcPr>
            <w:tcW w:w="1080" w:type="dxa"/>
          </w:tcPr>
          <w:p w:rsidR="00C8556A" w:rsidRPr="00887631" w:rsidRDefault="00C8556A" w:rsidP="00E42C9A">
            <w:pPr>
              <w:pStyle w:val="Tabletext"/>
              <w:jc w:val="center"/>
              <w:rPr>
                <w:sz w:val="22"/>
                <w:szCs w:val="22"/>
              </w:rPr>
            </w:pPr>
            <w:r>
              <w:rPr>
                <w:sz w:val="22"/>
                <w:szCs w:val="22"/>
              </w:rPr>
              <w:t>11/2</w:t>
            </w:r>
          </w:p>
        </w:tc>
        <w:tc>
          <w:tcPr>
            <w:tcW w:w="12528" w:type="dxa"/>
          </w:tcPr>
          <w:p w:rsidR="00C8556A" w:rsidRPr="00887631" w:rsidRDefault="00C8556A" w:rsidP="00C8556A">
            <w:pPr>
              <w:pStyle w:val="Tabletext"/>
              <w:rPr>
                <w:sz w:val="22"/>
                <w:szCs w:val="22"/>
              </w:rPr>
            </w:pPr>
            <w:r>
              <w:rPr>
                <w:sz w:val="22"/>
                <w:szCs w:val="22"/>
              </w:rPr>
              <w:t>No assignment – reading only</w:t>
            </w:r>
          </w:p>
        </w:tc>
      </w:tr>
      <w:tr w:rsidR="00C8556A" w:rsidRPr="00887631" w:rsidTr="00C8556A">
        <w:tc>
          <w:tcPr>
            <w:tcW w:w="1080" w:type="dxa"/>
          </w:tcPr>
          <w:p w:rsidR="00C8556A" w:rsidRDefault="00C8556A" w:rsidP="00E42C9A">
            <w:pPr>
              <w:pStyle w:val="Tabletext"/>
              <w:jc w:val="center"/>
              <w:rPr>
                <w:sz w:val="22"/>
                <w:szCs w:val="22"/>
              </w:rPr>
            </w:pPr>
          </w:p>
        </w:tc>
        <w:tc>
          <w:tcPr>
            <w:tcW w:w="1080" w:type="dxa"/>
          </w:tcPr>
          <w:p w:rsidR="00C8556A" w:rsidRPr="00887631" w:rsidRDefault="00C8556A" w:rsidP="00E42C9A">
            <w:pPr>
              <w:pStyle w:val="Tabletext"/>
              <w:jc w:val="center"/>
              <w:rPr>
                <w:sz w:val="22"/>
                <w:szCs w:val="22"/>
              </w:rPr>
            </w:pPr>
            <w:r>
              <w:rPr>
                <w:sz w:val="22"/>
                <w:szCs w:val="22"/>
              </w:rPr>
              <w:t>11/9</w:t>
            </w:r>
          </w:p>
        </w:tc>
        <w:tc>
          <w:tcPr>
            <w:tcW w:w="12528" w:type="dxa"/>
          </w:tcPr>
          <w:p w:rsidR="00C8556A" w:rsidRPr="00887631" w:rsidRDefault="00C8556A" w:rsidP="008D2E42">
            <w:pPr>
              <w:pStyle w:val="Tabletext"/>
              <w:rPr>
                <w:sz w:val="22"/>
                <w:szCs w:val="22"/>
              </w:rPr>
            </w:pPr>
            <w:r w:rsidRPr="00887631">
              <w:rPr>
                <w:sz w:val="22"/>
                <w:szCs w:val="22"/>
              </w:rPr>
              <w:t>20 points</w:t>
            </w:r>
          </w:p>
          <w:p w:rsidR="00C8556A" w:rsidRPr="00887631" w:rsidRDefault="00C8556A" w:rsidP="00E42C9A">
            <w:pPr>
              <w:pStyle w:val="Tabletext"/>
              <w:numPr>
                <w:ilvl w:val="0"/>
                <w:numId w:val="7"/>
              </w:numPr>
              <w:rPr>
                <w:sz w:val="22"/>
                <w:szCs w:val="22"/>
              </w:rPr>
            </w:pPr>
            <w:r w:rsidRPr="00887631">
              <w:rPr>
                <w:sz w:val="22"/>
                <w:szCs w:val="22"/>
              </w:rPr>
              <w:lastRenderedPageBreak/>
              <w:t xml:space="preserve">Answer Problems in </w:t>
            </w:r>
            <w:r>
              <w:rPr>
                <w:sz w:val="22"/>
                <w:szCs w:val="22"/>
                <w:u w:val="single"/>
              </w:rPr>
              <w:t>Handout #4</w:t>
            </w:r>
            <w:r w:rsidRPr="00887631">
              <w:rPr>
                <w:sz w:val="22"/>
                <w:szCs w:val="22"/>
              </w:rPr>
              <w:t xml:space="preserve"> (Subpart F).</w:t>
            </w:r>
          </w:p>
          <w:p w:rsidR="00C8556A" w:rsidRPr="00887631" w:rsidRDefault="00C8556A" w:rsidP="008D2E42">
            <w:pPr>
              <w:pStyle w:val="Tabletext"/>
              <w:ind w:left="1440"/>
              <w:rPr>
                <w:sz w:val="22"/>
                <w:szCs w:val="22"/>
              </w:rPr>
            </w:pPr>
          </w:p>
        </w:tc>
      </w:tr>
      <w:tr w:rsidR="00C8556A" w:rsidRPr="00887631" w:rsidTr="00C8556A">
        <w:tc>
          <w:tcPr>
            <w:tcW w:w="1080" w:type="dxa"/>
          </w:tcPr>
          <w:p w:rsidR="00C8556A" w:rsidRDefault="00C8556A" w:rsidP="00E42C9A">
            <w:pPr>
              <w:pStyle w:val="Tabletext"/>
              <w:jc w:val="center"/>
              <w:rPr>
                <w:sz w:val="22"/>
                <w:szCs w:val="22"/>
              </w:rPr>
            </w:pPr>
          </w:p>
        </w:tc>
        <w:tc>
          <w:tcPr>
            <w:tcW w:w="1080" w:type="dxa"/>
          </w:tcPr>
          <w:p w:rsidR="00C8556A" w:rsidRPr="00887631" w:rsidRDefault="00C8556A" w:rsidP="00E42C9A">
            <w:pPr>
              <w:pStyle w:val="Tabletext"/>
              <w:jc w:val="center"/>
              <w:rPr>
                <w:sz w:val="22"/>
                <w:szCs w:val="22"/>
              </w:rPr>
            </w:pPr>
            <w:r>
              <w:rPr>
                <w:sz w:val="22"/>
                <w:szCs w:val="22"/>
              </w:rPr>
              <w:t>11/16</w:t>
            </w:r>
          </w:p>
        </w:tc>
        <w:tc>
          <w:tcPr>
            <w:tcW w:w="12528" w:type="dxa"/>
          </w:tcPr>
          <w:p w:rsidR="00C8556A" w:rsidRDefault="00C8556A" w:rsidP="00AF2D2A">
            <w:pPr>
              <w:pStyle w:val="Tabletext"/>
              <w:rPr>
                <w:sz w:val="22"/>
                <w:szCs w:val="22"/>
              </w:rPr>
            </w:pPr>
            <w:r w:rsidRPr="00887631">
              <w:rPr>
                <w:sz w:val="22"/>
                <w:szCs w:val="22"/>
              </w:rPr>
              <w:t xml:space="preserve">Presentation </w:t>
            </w:r>
            <w:r>
              <w:rPr>
                <w:sz w:val="22"/>
                <w:szCs w:val="22"/>
              </w:rPr>
              <w:t>(3</w:t>
            </w:r>
            <w:r w:rsidRPr="00887631">
              <w:rPr>
                <w:sz w:val="22"/>
                <w:szCs w:val="22"/>
              </w:rPr>
              <w:t>0 points) – At the beginning of the course, you’ll sign up for a court case tied to course topics</w:t>
            </w:r>
            <w:r>
              <w:rPr>
                <w:sz w:val="22"/>
                <w:szCs w:val="22"/>
              </w:rPr>
              <w:t xml:space="preserve"> together with 1 – 2 co-presenters</w:t>
            </w:r>
            <w:r w:rsidRPr="00887631">
              <w:rPr>
                <w:sz w:val="22"/>
                <w:szCs w:val="22"/>
              </w:rPr>
              <w:t xml:space="preserve">. You are to review the case and make a presentation about it and its relevance to understanding international taxation.  </w:t>
            </w:r>
          </w:p>
          <w:p w:rsidR="00C8556A" w:rsidRPr="00887631" w:rsidRDefault="00C8556A" w:rsidP="00AF2D2A">
            <w:pPr>
              <w:pStyle w:val="Tabletext"/>
              <w:ind w:left="720"/>
              <w:rPr>
                <w:sz w:val="22"/>
                <w:szCs w:val="22"/>
              </w:rPr>
            </w:pPr>
            <w:r w:rsidRPr="00887631">
              <w:rPr>
                <w:sz w:val="22"/>
                <w:szCs w:val="22"/>
              </w:rPr>
              <w:t>The following court cases are suggested for student review:</w:t>
            </w:r>
          </w:p>
          <w:p w:rsidR="00C8556A" w:rsidRPr="00887631" w:rsidRDefault="00C8556A" w:rsidP="00E42C9A">
            <w:pPr>
              <w:pStyle w:val="Tabletext"/>
              <w:numPr>
                <w:ilvl w:val="0"/>
                <w:numId w:val="7"/>
              </w:numPr>
              <w:rPr>
                <w:sz w:val="22"/>
                <w:szCs w:val="22"/>
              </w:rPr>
            </w:pPr>
            <w:r w:rsidRPr="00887631">
              <w:rPr>
                <w:i/>
                <w:sz w:val="22"/>
                <w:szCs w:val="22"/>
              </w:rPr>
              <w:t>Liggett Group</w:t>
            </w:r>
            <w:r w:rsidRPr="00887631">
              <w:rPr>
                <w:sz w:val="22"/>
                <w:szCs w:val="22"/>
              </w:rPr>
              <w:t>, 58 TCM 1167</w:t>
            </w:r>
          </w:p>
          <w:p w:rsidR="00C8556A" w:rsidRPr="00887631" w:rsidRDefault="00C8556A" w:rsidP="00E42C9A">
            <w:pPr>
              <w:pStyle w:val="Tabletext"/>
              <w:numPr>
                <w:ilvl w:val="0"/>
                <w:numId w:val="7"/>
              </w:numPr>
              <w:rPr>
                <w:sz w:val="22"/>
                <w:szCs w:val="22"/>
              </w:rPr>
            </w:pPr>
            <w:r w:rsidRPr="00887631">
              <w:rPr>
                <w:i/>
                <w:sz w:val="22"/>
                <w:szCs w:val="22"/>
              </w:rPr>
              <w:t>Boulez</w:t>
            </w:r>
            <w:r w:rsidRPr="00887631">
              <w:rPr>
                <w:sz w:val="22"/>
                <w:szCs w:val="22"/>
              </w:rPr>
              <w:t>, 83 T.C. 584</w:t>
            </w:r>
          </w:p>
          <w:p w:rsidR="00C8556A" w:rsidRPr="00887631" w:rsidRDefault="00C8556A" w:rsidP="00E42C9A">
            <w:pPr>
              <w:pStyle w:val="Tabletext"/>
              <w:numPr>
                <w:ilvl w:val="0"/>
                <w:numId w:val="7"/>
              </w:numPr>
              <w:rPr>
                <w:sz w:val="22"/>
                <w:szCs w:val="22"/>
              </w:rPr>
            </w:pPr>
            <w:r w:rsidRPr="00887631">
              <w:rPr>
                <w:i/>
                <w:sz w:val="22"/>
                <w:szCs w:val="22"/>
              </w:rPr>
              <w:t>Dave Fischbein Manufacturing Co.</w:t>
            </w:r>
            <w:r w:rsidRPr="00887631">
              <w:rPr>
                <w:sz w:val="22"/>
                <w:szCs w:val="22"/>
              </w:rPr>
              <w:t>, 59 T.C. 338</w:t>
            </w:r>
          </w:p>
          <w:p w:rsidR="00C8556A" w:rsidRPr="00887631" w:rsidRDefault="00C8556A" w:rsidP="00E42C9A">
            <w:pPr>
              <w:pStyle w:val="Tabletext"/>
              <w:numPr>
                <w:ilvl w:val="0"/>
                <w:numId w:val="7"/>
              </w:numPr>
              <w:rPr>
                <w:i/>
                <w:sz w:val="22"/>
                <w:szCs w:val="22"/>
              </w:rPr>
            </w:pPr>
            <w:r w:rsidRPr="00887631">
              <w:rPr>
                <w:i/>
                <w:sz w:val="22"/>
                <w:szCs w:val="22"/>
              </w:rPr>
              <w:t>Taisei Fire</w:t>
            </w:r>
            <w:r w:rsidRPr="00887631">
              <w:rPr>
                <w:sz w:val="22"/>
                <w:szCs w:val="22"/>
              </w:rPr>
              <w:t>, 104 T.C. 535</w:t>
            </w:r>
          </w:p>
          <w:p w:rsidR="00C8556A" w:rsidRPr="00887631" w:rsidRDefault="00C8556A" w:rsidP="00E42C9A">
            <w:pPr>
              <w:pStyle w:val="Tabletext"/>
              <w:numPr>
                <w:ilvl w:val="0"/>
                <w:numId w:val="7"/>
              </w:numPr>
              <w:rPr>
                <w:i/>
                <w:sz w:val="22"/>
                <w:szCs w:val="22"/>
              </w:rPr>
            </w:pPr>
            <w:r w:rsidRPr="00887631">
              <w:rPr>
                <w:i/>
                <w:sz w:val="22"/>
                <w:szCs w:val="22"/>
              </w:rPr>
              <w:t>Piedras Negras</w:t>
            </w:r>
            <w:r w:rsidRPr="00887631">
              <w:rPr>
                <w:sz w:val="22"/>
                <w:szCs w:val="22"/>
              </w:rPr>
              <w:t>, 43 B.T.A 297 and 127 F.2d 260</w:t>
            </w:r>
          </w:p>
          <w:p w:rsidR="00C8556A" w:rsidRPr="00887631" w:rsidRDefault="00C8556A" w:rsidP="00E42C9A">
            <w:pPr>
              <w:pStyle w:val="Tabletext"/>
              <w:numPr>
                <w:ilvl w:val="0"/>
                <w:numId w:val="7"/>
              </w:numPr>
              <w:rPr>
                <w:sz w:val="22"/>
                <w:szCs w:val="22"/>
              </w:rPr>
            </w:pPr>
            <w:r w:rsidRPr="00887631">
              <w:rPr>
                <w:i/>
                <w:sz w:val="22"/>
                <w:szCs w:val="22"/>
              </w:rPr>
              <w:t>Xilinx</w:t>
            </w:r>
            <w:r w:rsidRPr="00887631">
              <w:rPr>
                <w:sz w:val="22"/>
                <w:szCs w:val="22"/>
              </w:rPr>
              <w:t>, 125 T.C. 37</w:t>
            </w:r>
          </w:p>
          <w:p w:rsidR="00C8556A" w:rsidRDefault="00C8556A" w:rsidP="00B44AC3">
            <w:pPr>
              <w:numPr>
                <w:ilvl w:val="0"/>
                <w:numId w:val="7"/>
              </w:numPr>
              <w:rPr>
                <w:sz w:val="22"/>
                <w:szCs w:val="22"/>
              </w:rPr>
            </w:pPr>
            <w:r w:rsidRPr="00887631">
              <w:rPr>
                <w:i/>
                <w:sz w:val="22"/>
                <w:szCs w:val="22"/>
              </w:rPr>
              <w:t xml:space="preserve">SDI Netherlands, B.V. v. Commissioner, </w:t>
            </w:r>
            <w:r w:rsidRPr="00887631">
              <w:rPr>
                <w:sz w:val="22"/>
                <w:szCs w:val="22"/>
              </w:rPr>
              <w:t>107 T.C. 161 (1996)</w:t>
            </w:r>
          </w:p>
          <w:p w:rsidR="00C8556A" w:rsidRDefault="00C8556A" w:rsidP="00B44AC3">
            <w:pPr>
              <w:numPr>
                <w:ilvl w:val="0"/>
                <w:numId w:val="7"/>
              </w:numPr>
              <w:rPr>
                <w:sz w:val="22"/>
                <w:szCs w:val="22"/>
              </w:rPr>
            </w:pPr>
            <w:r>
              <w:rPr>
                <w:i/>
                <w:sz w:val="22"/>
                <w:szCs w:val="22"/>
              </w:rPr>
              <w:t>Inverworld v. Commissioner</w:t>
            </w:r>
            <w:r>
              <w:rPr>
                <w:sz w:val="22"/>
                <w:szCs w:val="22"/>
              </w:rPr>
              <w:t>, TC Memo. 1996-301 (edited version distributed by instructor)</w:t>
            </w:r>
          </w:p>
          <w:p w:rsidR="00C8556A" w:rsidRPr="00887631" w:rsidRDefault="00C8556A" w:rsidP="00AF2D2A">
            <w:pPr>
              <w:ind w:left="720"/>
              <w:rPr>
                <w:sz w:val="22"/>
                <w:szCs w:val="22"/>
              </w:rPr>
            </w:pPr>
          </w:p>
          <w:p w:rsidR="00C8556A" w:rsidRPr="00887631" w:rsidRDefault="00C8556A" w:rsidP="00DE0548">
            <w:pPr>
              <w:ind w:left="720"/>
              <w:rPr>
                <w:sz w:val="22"/>
                <w:szCs w:val="22"/>
              </w:rPr>
            </w:pPr>
          </w:p>
        </w:tc>
      </w:tr>
    </w:tbl>
    <w:p w:rsidR="001E30E5" w:rsidRPr="008D50B3" w:rsidRDefault="001E30E5" w:rsidP="00503E2E"/>
    <w:sectPr w:rsidR="001E30E5" w:rsidRPr="008D50B3" w:rsidSect="00076A89">
      <w:footerReference w:type="default" r:id="rId17"/>
      <w:pgSz w:w="15840" w:h="12240" w:orient="landscape" w:code="1"/>
      <w:pgMar w:top="720" w:right="1440" w:bottom="432" w:left="1008"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DF4" w:rsidRDefault="00BE6DF4">
      <w:r>
        <w:separator/>
      </w:r>
    </w:p>
  </w:endnote>
  <w:endnote w:type="continuationSeparator" w:id="0">
    <w:p w:rsidR="00BE6DF4" w:rsidRDefault="00BE6D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E04" w:rsidRDefault="00332E04" w:rsidP="00503E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2E04" w:rsidRDefault="00332E04" w:rsidP="00503E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F7D" w:rsidRDefault="00A03F7D">
    <w:pPr>
      <w:pStyle w:val="Footer"/>
      <w:jc w:val="center"/>
    </w:pPr>
    <w:fldSimple w:instr=" PAGE   \* MERGEFORMAT ">
      <w:r w:rsidR="009755BC">
        <w:rPr>
          <w:noProof/>
        </w:rPr>
        <w:t>1</w:t>
      </w:r>
    </w:fldSimple>
  </w:p>
  <w:p w:rsidR="00332E04" w:rsidRDefault="00332E04" w:rsidP="00503E2E">
    <w:pPr>
      <w:pStyle w:val="Footer"/>
      <w:ind w:right="360"/>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62D" w:rsidRPr="00BA76F8" w:rsidRDefault="00A03F7D" w:rsidP="00BA76F8">
    <w:pPr>
      <w:pStyle w:val="Footer"/>
      <w:jc w:val="center"/>
      <w:rPr>
        <w:lang w:val="en-US"/>
      </w:rPr>
    </w:pPr>
    <w:fldSimple w:instr=" PAGE   \* MERGEFORMAT ">
      <w:r w:rsidR="009755BC">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DF4" w:rsidRDefault="00BE6DF4">
      <w:r>
        <w:separator/>
      </w:r>
    </w:p>
  </w:footnote>
  <w:footnote w:type="continuationSeparator" w:id="0">
    <w:p w:rsidR="00BE6DF4" w:rsidRDefault="00BE6D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0DBB"/>
    <w:multiLevelType w:val="hybridMultilevel"/>
    <w:tmpl w:val="081EC948"/>
    <w:lvl w:ilvl="0" w:tplc="134806F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465F3"/>
    <w:multiLevelType w:val="hybridMultilevel"/>
    <w:tmpl w:val="D35E63D8"/>
    <w:lvl w:ilvl="0" w:tplc="6FD23D5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nsid w:val="05386341"/>
    <w:multiLevelType w:val="hybridMultilevel"/>
    <w:tmpl w:val="F2D6B862"/>
    <w:lvl w:ilvl="0" w:tplc="6FD23D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06761D2"/>
    <w:multiLevelType w:val="hybridMultilevel"/>
    <w:tmpl w:val="E6D87F7C"/>
    <w:lvl w:ilvl="0" w:tplc="6FD23D5C">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EFF671E"/>
    <w:multiLevelType w:val="hybridMultilevel"/>
    <w:tmpl w:val="4FB2C64A"/>
    <w:lvl w:ilvl="0" w:tplc="6FD23D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05B5D6A"/>
    <w:multiLevelType w:val="multilevel"/>
    <w:tmpl w:val="04E8B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AD1501"/>
    <w:multiLevelType w:val="hybridMultilevel"/>
    <w:tmpl w:val="E940C094"/>
    <w:lvl w:ilvl="0" w:tplc="EA2E8A46">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7475218"/>
    <w:multiLevelType w:val="hybridMultilevel"/>
    <w:tmpl w:val="4B56ABDE"/>
    <w:lvl w:ilvl="0" w:tplc="04090005">
      <w:start w:val="1"/>
      <w:numFmt w:val="bullet"/>
      <w:lvlText w:val=""/>
      <w:lvlJc w:val="left"/>
      <w:pPr>
        <w:tabs>
          <w:tab w:val="num" w:pos="720"/>
        </w:tabs>
        <w:ind w:left="720" w:hanging="360"/>
      </w:pPr>
      <w:rPr>
        <w:rFonts w:ascii="Wingdings" w:hAnsi="Wingdings" w:hint="default"/>
      </w:rPr>
    </w:lvl>
    <w:lvl w:ilvl="1" w:tplc="F1749A08">
      <w:start w:val="89"/>
      <w:numFmt w:val="bullet"/>
      <w:lvlText w:val=""/>
      <w:lvlJc w:val="left"/>
      <w:pPr>
        <w:tabs>
          <w:tab w:val="num" w:pos="1440"/>
        </w:tabs>
        <w:ind w:left="1440" w:hanging="360"/>
      </w:pPr>
      <w:rPr>
        <w:rFonts w:ascii="Wingdings" w:hAnsi="Wingdings" w:hint="default"/>
      </w:rPr>
    </w:lvl>
    <w:lvl w:ilvl="2" w:tplc="95C060F2" w:tentative="1">
      <w:start w:val="1"/>
      <w:numFmt w:val="bullet"/>
      <w:lvlText w:val=""/>
      <w:lvlJc w:val="left"/>
      <w:pPr>
        <w:tabs>
          <w:tab w:val="num" w:pos="2160"/>
        </w:tabs>
        <w:ind w:left="2160" w:hanging="360"/>
      </w:pPr>
      <w:rPr>
        <w:rFonts w:ascii="Wingdings" w:hAnsi="Wingdings" w:hint="default"/>
      </w:rPr>
    </w:lvl>
    <w:lvl w:ilvl="3" w:tplc="BF72091C" w:tentative="1">
      <w:start w:val="1"/>
      <w:numFmt w:val="bullet"/>
      <w:lvlText w:val=""/>
      <w:lvlJc w:val="left"/>
      <w:pPr>
        <w:tabs>
          <w:tab w:val="num" w:pos="2880"/>
        </w:tabs>
        <w:ind w:left="2880" w:hanging="360"/>
      </w:pPr>
      <w:rPr>
        <w:rFonts w:ascii="Wingdings" w:hAnsi="Wingdings" w:hint="default"/>
      </w:rPr>
    </w:lvl>
    <w:lvl w:ilvl="4" w:tplc="E5185378" w:tentative="1">
      <w:start w:val="1"/>
      <w:numFmt w:val="bullet"/>
      <w:lvlText w:val=""/>
      <w:lvlJc w:val="left"/>
      <w:pPr>
        <w:tabs>
          <w:tab w:val="num" w:pos="3600"/>
        </w:tabs>
        <w:ind w:left="3600" w:hanging="360"/>
      </w:pPr>
      <w:rPr>
        <w:rFonts w:ascii="Wingdings" w:hAnsi="Wingdings" w:hint="default"/>
      </w:rPr>
    </w:lvl>
    <w:lvl w:ilvl="5" w:tplc="A4FE1700" w:tentative="1">
      <w:start w:val="1"/>
      <w:numFmt w:val="bullet"/>
      <w:lvlText w:val=""/>
      <w:lvlJc w:val="left"/>
      <w:pPr>
        <w:tabs>
          <w:tab w:val="num" w:pos="4320"/>
        </w:tabs>
        <w:ind w:left="4320" w:hanging="360"/>
      </w:pPr>
      <w:rPr>
        <w:rFonts w:ascii="Wingdings" w:hAnsi="Wingdings" w:hint="default"/>
      </w:rPr>
    </w:lvl>
    <w:lvl w:ilvl="6" w:tplc="9ED0242A" w:tentative="1">
      <w:start w:val="1"/>
      <w:numFmt w:val="bullet"/>
      <w:lvlText w:val=""/>
      <w:lvlJc w:val="left"/>
      <w:pPr>
        <w:tabs>
          <w:tab w:val="num" w:pos="5040"/>
        </w:tabs>
        <w:ind w:left="5040" w:hanging="360"/>
      </w:pPr>
      <w:rPr>
        <w:rFonts w:ascii="Wingdings" w:hAnsi="Wingdings" w:hint="default"/>
      </w:rPr>
    </w:lvl>
    <w:lvl w:ilvl="7" w:tplc="A1A6DA80" w:tentative="1">
      <w:start w:val="1"/>
      <w:numFmt w:val="bullet"/>
      <w:lvlText w:val=""/>
      <w:lvlJc w:val="left"/>
      <w:pPr>
        <w:tabs>
          <w:tab w:val="num" w:pos="5760"/>
        </w:tabs>
        <w:ind w:left="5760" w:hanging="360"/>
      </w:pPr>
      <w:rPr>
        <w:rFonts w:ascii="Wingdings" w:hAnsi="Wingdings" w:hint="default"/>
      </w:rPr>
    </w:lvl>
    <w:lvl w:ilvl="8" w:tplc="0B6EDB6E" w:tentative="1">
      <w:start w:val="1"/>
      <w:numFmt w:val="bullet"/>
      <w:lvlText w:val=""/>
      <w:lvlJc w:val="left"/>
      <w:pPr>
        <w:tabs>
          <w:tab w:val="num" w:pos="6480"/>
        </w:tabs>
        <w:ind w:left="6480" w:hanging="360"/>
      </w:pPr>
      <w:rPr>
        <w:rFonts w:ascii="Wingdings" w:hAnsi="Wingdings" w:hint="default"/>
      </w:rPr>
    </w:lvl>
  </w:abstractNum>
  <w:abstractNum w:abstractNumId="9">
    <w:nsid w:val="38100F74"/>
    <w:multiLevelType w:val="hybridMultilevel"/>
    <w:tmpl w:val="0D26CA88"/>
    <w:lvl w:ilvl="0" w:tplc="A8F42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EF2A8A"/>
    <w:multiLevelType w:val="multilevel"/>
    <w:tmpl w:val="4E882D9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58510C"/>
    <w:multiLevelType w:val="hybridMultilevel"/>
    <w:tmpl w:val="1354C316"/>
    <w:lvl w:ilvl="0" w:tplc="6FD23D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C9F45F8"/>
    <w:multiLevelType w:val="hybridMultilevel"/>
    <w:tmpl w:val="1F4A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5E6998"/>
    <w:multiLevelType w:val="hybridMultilevel"/>
    <w:tmpl w:val="8CBA39FA"/>
    <w:lvl w:ilvl="0" w:tplc="EA2E8A4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D522E3"/>
    <w:multiLevelType w:val="hybridMultilevel"/>
    <w:tmpl w:val="3CE8149E"/>
    <w:lvl w:ilvl="0" w:tplc="6FD23D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47E5D91"/>
    <w:multiLevelType w:val="hybridMultilevel"/>
    <w:tmpl w:val="811C9AE4"/>
    <w:lvl w:ilvl="0" w:tplc="53B26906">
      <w:start w:val="1"/>
      <w:numFmt w:val="bullet"/>
      <w:lvlRestart w:val="0"/>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B95938"/>
    <w:multiLevelType w:val="hybridMultilevel"/>
    <w:tmpl w:val="8CD06D7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9"/>
  </w:num>
  <w:num w:numId="4">
    <w:abstractNumId w:val="8"/>
  </w:num>
  <w:num w:numId="5">
    <w:abstractNumId w:val="12"/>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6"/>
  </w:num>
  <w:num w:numId="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7"/>
  </w:num>
  <w:num w:numId="16">
    <w:abstractNumId w:val="13"/>
  </w:num>
  <w:num w:numId="17">
    <w:abstractNumId w:val="0"/>
  </w:num>
  <w:num w:numId="18">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801"/>
  <w:documentProtection w:edit="readOnly" w:enforcement="0"/>
  <w:defaultTabStop w:val="360"/>
  <w:noPunctuationKerning/>
  <w:characterSpacingControl w:val="doNotCompress"/>
  <w:hdrShapeDefaults>
    <o:shapedefaults v:ext="edit" spidmax="3074"/>
  </w:hdrShapeDefaults>
  <w:footnotePr>
    <w:footnote w:id="-1"/>
    <w:footnote w:id="0"/>
  </w:footnotePr>
  <w:endnotePr>
    <w:endnote w:id="-1"/>
    <w:endnote w:id="0"/>
  </w:endnotePr>
  <w:compat/>
  <w:docVars>
    <w:docVar w:name="DocIDAuthor" w:val="False"/>
    <w:docVar w:name="DocIDClientMatter" w:val="True"/>
    <w:docVar w:name="DocIDDate" w:val="False"/>
    <w:docVar w:name="DocIDLibrary" w:val="True"/>
    <w:docVar w:name="DocIDType" w:val="AllPages"/>
    <w:docVar w:name="DocIDTypist" w:val="False"/>
    <w:docVar w:name="LegacyDocIDRemoved" w:val="True"/>
  </w:docVars>
  <w:rsids>
    <w:rsidRoot w:val="008816DE"/>
    <w:rsid w:val="00002E89"/>
    <w:rsid w:val="00036C13"/>
    <w:rsid w:val="00041326"/>
    <w:rsid w:val="00052FF2"/>
    <w:rsid w:val="00055B3B"/>
    <w:rsid w:val="0006023A"/>
    <w:rsid w:val="00076A89"/>
    <w:rsid w:val="00080C75"/>
    <w:rsid w:val="000E1480"/>
    <w:rsid w:val="000E250A"/>
    <w:rsid w:val="000E783E"/>
    <w:rsid w:val="001014F1"/>
    <w:rsid w:val="00101F85"/>
    <w:rsid w:val="0012052C"/>
    <w:rsid w:val="0012204D"/>
    <w:rsid w:val="00125E97"/>
    <w:rsid w:val="00135473"/>
    <w:rsid w:val="001429E3"/>
    <w:rsid w:val="001574E2"/>
    <w:rsid w:val="001603A0"/>
    <w:rsid w:val="0017205E"/>
    <w:rsid w:val="00172A22"/>
    <w:rsid w:val="00185192"/>
    <w:rsid w:val="00187FF4"/>
    <w:rsid w:val="001B4929"/>
    <w:rsid w:val="001C1D51"/>
    <w:rsid w:val="001C6F2C"/>
    <w:rsid w:val="001E30E5"/>
    <w:rsid w:val="001E66FD"/>
    <w:rsid w:val="00222826"/>
    <w:rsid w:val="002418C4"/>
    <w:rsid w:val="00260107"/>
    <w:rsid w:val="002718BE"/>
    <w:rsid w:val="002753D4"/>
    <w:rsid w:val="0029128A"/>
    <w:rsid w:val="002961BE"/>
    <w:rsid w:val="002973AD"/>
    <w:rsid w:val="002A7DE6"/>
    <w:rsid w:val="002C628B"/>
    <w:rsid w:val="002D323C"/>
    <w:rsid w:val="002D5D32"/>
    <w:rsid w:val="002E3999"/>
    <w:rsid w:val="0032474A"/>
    <w:rsid w:val="00332E04"/>
    <w:rsid w:val="00346418"/>
    <w:rsid w:val="0036114C"/>
    <w:rsid w:val="003630C8"/>
    <w:rsid w:val="00371E84"/>
    <w:rsid w:val="00385B8D"/>
    <w:rsid w:val="003A006A"/>
    <w:rsid w:val="003A028D"/>
    <w:rsid w:val="003A4A6F"/>
    <w:rsid w:val="003B6E2E"/>
    <w:rsid w:val="003B7FB6"/>
    <w:rsid w:val="003C5C11"/>
    <w:rsid w:val="003C70F3"/>
    <w:rsid w:val="003E7B53"/>
    <w:rsid w:val="003F3A6D"/>
    <w:rsid w:val="003F5BAD"/>
    <w:rsid w:val="00404B4E"/>
    <w:rsid w:val="00411D86"/>
    <w:rsid w:val="0041263C"/>
    <w:rsid w:val="004200A6"/>
    <w:rsid w:val="004671D2"/>
    <w:rsid w:val="004746C7"/>
    <w:rsid w:val="004A39FA"/>
    <w:rsid w:val="004A4CE5"/>
    <w:rsid w:val="004B3574"/>
    <w:rsid w:val="004B661A"/>
    <w:rsid w:val="004B7F3C"/>
    <w:rsid w:val="004C0BD9"/>
    <w:rsid w:val="004D0614"/>
    <w:rsid w:val="004E5809"/>
    <w:rsid w:val="00503E2E"/>
    <w:rsid w:val="005409B9"/>
    <w:rsid w:val="005424EE"/>
    <w:rsid w:val="00575E28"/>
    <w:rsid w:val="00583B0C"/>
    <w:rsid w:val="00591D77"/>
    <w:rsid w:val="005D3470"/>
    <w:rsid w:val="006028AB"/>
    <w:rsid w:val="00612536"/>
    <w:rsid w:val="006156A3"/>
    <w:rsid w:val="00656ED0"/>
    <w:rsid w:val="00677433"/>
    <w:rsid w:val="00677880"/>
    <w:rsid w:val="006A4FD6"/>
    <w:rsid w:val="006C7958"/>
    <w:rsid w:val="006E39A2"/>
    <w:rsid w:val="00705F50"/>
    <w:rsid w:val="00707C30"/>
    <w:rsid w:val="0071342C"/>
    <w:rsid w:val="0072307B"/>
    <w:rsid w:val="00727B45"/>
    <w:rsid w:val="0073147D"/>
    <w:rsid w:val="00735D4A"/>
    <w:rsid w:val="00741A62"/>
    <w:rsid w:val="00744719"/>
    <w:rsid w:val="0075025A"/>
    <w:rsid w:val="0075160B"/>
    <w:rsid w:val="00762948"/>
    <w:rsid w:val="00772C7D"/>
    <w:rsid w:val="007767F8"/>
    <w:rsid w:val="007775FF"/>
    <w:rsid w:val="0078749F"/>
    <w:rsid w:val="00787A54"/>
    <w:rsid w:val="007A6C1F"/>
    <w:rsid w:val="007A7BC4"/>
    <w:rsid w:val="007C5C46"/>
    <w:rsid w:val="00803AB6"/>
    <w:rsid w:val="008044F9"/>
    <w:rsid w:val="00843C02"/>
    <w:rsid w:val="00847A67"/>
    <w:rsid w:val="00872855"/>
    <w:rsid w:val="00887631"/>
    <w:rsid w:val="008A4D80"/>
    <w:rsid w:val="008B2FE0"/>
    <w:rsid w:val="008D2E42"/>
    <w:rsid w:val="008D50B3"/>
    <w:rsid w:val="008E30C9"/>
    <w:rsid w:val="00904ADE"/>
    <w:rsid w:val="009230DA"/>
    <w:rsid w:val="0092340B"/>
    <w:rsid w:val="0093060D"/>
    <w:rsid w:val="00940974"/>
    <w:rsid w:val="009530EF"/>
    <w:rsid w:val="009755BC"/>
    <w:rsid w:val="00987038"/>
    <w:rsid w:val="00987292"/>
    <w:rsid w:val="009916F9"/>
    <w:rsid w:val="0099562D"/>
    <w:rsid w:val="009A5E7D"/>
    <w:rsid w:val="009B4332"/>
    <w:rsid w:val="009C2486"/>
    <w:rsid w:val="009F0E5A"/>
    <w:rsid w:val="009F1D7A"/>
    <w:rsid w:val="00A03F7D"/>
    <w:rsid w:val="00A12CB1"/>
    <w:rsid w:val="00A168BF"/>
    <w:rsid w:val="00A458E8"/>
    <w:rsid w:val="00A72CD9"/>
    <w:rsid w:val="00AA66A1"/>
    <w:rsid w:val="00AA70DF"/>
    <w:rsid w:val="00AD26DC"/>
    <w:rsid w:val="00AF2D2A"/>
    <w:rsid w:val="00AF5E0A"/>
    <w:rsid w:val="00B13A36"/>
    <w:rsid w:val="00B319EC"/>
    <w:rsid w:val="00B354DA"/>
    <w:rsid w:val="00B44AC3"/>
    <w:rsid w:val="00B57962"/>
    <w:rsid w:val="00BA3B11"/>
    <w:rsid w:val="00BA76F8"/>
    <w:rsid w:val="00BD486E"/>
    <w:rsid w:val="00BE6DF4"/>
    <w:rsid w:val="00C060B7"/>
    <w:rsid w:val="00C1746A"/>
    <w:rsid w:val="00C238C4"/>
    <w:rsid w:val="00C53A79"/>
    <w:rsid w:val="00C57A6E"/>
    <w:rsid w:val="00C622A1"/>
    <w:rsid w:val="00C666EF"/>
    <w:rsid w:val="00C73EC2"/>
    <w:rsid w:val="00C8556A"/>
    <w:rsid w:val="00C920FF"/>
    <w:rsid w:val="00CB13A9"/>
    <w:rsid w:val="00CB5A11"/>
    <w:rsid w:val="00CF72AC"/>
    <w:rsid w:val="00D04664"/>
    <w:rsid w:val="00D128DD"/>
    <w:rsid w:val="00D42A63"/>
    <w:rsid w:val="00D43756"/>
    <w:rsid w:val="00DA05B5"/>
    <w:rsid w:val="00DB6E3E"/>
    <w:rsid w:val="00DE0548"/>
    <w:rsid w:val="00E0641E"/>
    <w:rsid w:val="00E10A67"/>
    <w:rsid w:val="00E27873"/>
    <w:rsid w:val="00E313B0"/>
    <w:rsid w:val="00E42C9A"/>
    <w:rsid w:val="00E751A8"/>
    <w:rsid w:val="00E753FE"/>
    <w:rsid w:val="00E762E8"/>
    <w:rsid w:val="00E845B9"/>
    <w:rsid w:val="00E91923"/>
    <w:rsid w:val="00E950D0"/>
    <w:rsid w:val="00EE221A"/>
    <w:rsid w:val="00F33718"/>
    <w:rsid w:val="00F37E69"/>
    <w:rsid w:val="00F42746"/>
    <w:rsid w:val="00F45F7D"/>
    <w:rsid w:val="00F54F95"/>
    <w:rsid w:val="00F639FB"/>
    <w:rsid w:val="00F73727"/>
    <w:rsid w:val="00FD0DC7"/>
    <w:rsid w:val="00FF2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szCs w:val="24"/>
    </w:rPr>
  </w:style>
  <w:style w:type="paragraph" w:styleId="Heading1">
    <w:name w:val="heading 1"/>
    <w:basedOn w:val="Normal"/>
    <w:next w:val="Normal"/>
    <w:qFormat/>
    <w:rsid w:val="009A39F9"/>
    <w:pPr>
      <w:keepNext/>
      <w:spacing w:after="360"/>
      <w:jc w:val="center"/>
      <w:outlineLvl w:val="0"/>
    </w:pPr>
    <w:rPr>
      <w:rFonts w:ascii="Arial" w:hAnsi="Arial" w:cs="Arial"/>
      <w:b/>
      <w:bCs/>
      <w:kern w:val="32"/>
      <w:sz w:val="32"/>
      <w:szCs w:val="32"/>
    </w:rPr>
  </w:style>
  <w:style w:type="paragraph" w:styleId="Heading2">
    <w:name w:val="heading 2"/>
    <w:basedOn w:val="Normal"/>
    <w:next w:val="Normal"/>
    <w:link w:val="Heading2Char"/>
    <w:qFormat/>
    <w:rsid w:val="000F1472"/>
    <w:pPr>
      <w:keepNext/>
      <w:spacing w:before="480"/>
      <w:outlineLvl w:val="1"/>
    </w:pPr>
    <w:rPr>
      <w:rFonts w:ascii="Arial" w:hAnsi="Arial" w:cs="Arial"/>
      <w:b/>
      <w:bCs/>
      <w:iCs/>
      <w:szCs w:val="28"/>
    </w:rPr>
  </w:style>
  <w:style w:type="paragraph" w:styleId="Heading3">
    <w:name w:val="heading 3"/>
    <w:basedOn w:val="Normal"/>
    <w:next w:val="Normal"/>
    <w:qFormat/>
    <w:rsid w:val="002C7386"/>
    <w:pPr>
      <w:keepNext/>
      <w:spacing w:before="120"/>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numbered">
    <w:name w:val="Normal numbered"/>
    <w:basedOn w:val="Normal"/>
    <w:pPr>
      <w:numPr>
        <w:numId w:val="1"/>
      </w:numPr>
    </w:pPr>
  </w:style>
  <w:style w:type="paragraph" w:customStyle="1" w:styleId="Normalindentline">
    <w:name w:val="Normal indent line"/>
    <w:basedOn w:val="Normal"/>
    <w:pPr>
      <w:ind w:firstLine="360"/>
    </w:pPr>
  </w:style>
  <w:style w:type="paragraph" w:customStyle="1" w:styleId="Tabletext">
    <w:name w:val="Table text"/>
    <w:next w:val="Normal"/>
    <w:rsid w:val="00D00C75"/>
    <w:pPr>
      <w:spacing w:before="60" w:after="60"/>
    </w:pPr>
    <w:rPr>
      <w:sz w:val="24"/>
      <w:szCs w:val="24"/>
    </w:rPr>
  </w:style>
  <w:style w:type="paragraph" w:customStyle="1" w:styleId="Tableheading">
    <w:name w:val="Table heading"/>
    <w:next w:val="BodyText"/>
    <w:rsid w:val="00D00C75"/>
    <w:pPr>
      <w:spacing w:before="60" w:after="60"/>
      <w:jc w:val="center"/>
    </w:pPr>
    <w:rPr>
      <w:b/>
      <w:sz w:val="24"/>
      <w:szCs w:val="24"/>
    </w:rPr>
  </w:style>
  <w:style w:type="paragraph" w:styleId="PlainText">
    <w:name w:val="Plain Text"/>
    <w:basedOn w:val="Normal"/>
    <w:rsid w:val="002C7386"/>
    <w:pPr>
      <w:spacing w:after="0"/>
    </w:pPr>
    <w:rPr>
      <w:rFonts w:ascii="Courier New" w:hAnsi="Courier New"/>
      <w:sz w:val="20"/>
      <w:szCs w:val="20"/>
    </w:rPr>
  </w:style>
  <w:style w:type="table" w:styleId="TableGrid">
    <w:name w:val="Table Grid"/>
    <w:basedOn w:val="TableNormal"/>
    <w:rsid w:val="007E5195"/>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right" w:pos="8640"/>
      </w:tabs>
      <w:spacing w:before="360" w:after="0"/>
    </w:pPr>
    <w:rPr>
      <w:rFonts w:ascii="Arial" w:hAnsi="Arial"/>
      <w:sz w:val="18"/>
      <w:lang/>
    </w:rPr>
  </w:style>
  <w:style w:type="paragraph" w:styleId="BodyText">
    <w:name w:val="Body Text"/>
    <w:basedOn w:val="Normal"/>
    <w:rsid w:val="00D00C75"/>
  </w:style>
  <w:style w:type="paragraph" w:customStyle="1" w:styleId="Normalindent">
    <w:name w:val="Normal indent"/>
    <w:basedOn w:val="Normal"/>
    <w:rsid w:val="004207B9"/>
    <w:pPr>
      <w:ind w:left="360"/>
    </w:pPr>
  </w:style>
  <w:style w:type="character" w:styleId="Hyperlink">
    <w:name w:val="Hyperlink"/>
    <w:rsid w:val="00571559"/>
    <w:rPr>
      <w:color w:val="0000FF"/>
      <w:u w:val="single"/>
    </w:rPr>
  </w:style>
  <w:style w:type="paragraph" w:styleId="DocumentMap">
    <w:name w:val="Document Map"/>
    <w:basedOn w:val="Normal"/>
    <w:semiHidden/>
    <w:rsid w:val="009936FB"/>
    <w:pPr>
      <w:shd w:val="clear" w:color="auto" w:fill="000080"/>
    </w:pPr>
    <w:rPr>
      <w:rFonts w:ascii="Tahoma" w:hAnsi="Tahoma" w:cs="Tahoma"/>
      <w:sz w:val="20"/>
      <w:szCs w:val="20"/>
    </w:rPr>
  </w:style>
  <w:style w:type="character" w:styleId="FollowedHyperlink">
    <w:name w:val="FollowedHyperlink"/>
    <w:rsid w:val="00DE5390"/>
    <w:rPr>
      <w:color w:val="800080"/>
      <w:u w:val="single"/>
    </w:rPr>
  </w:style>
  <w:style w:type="paragraph" w:styleId="BalloonText">
    <w:name w:val="Balloon Text"/>
    <w:basedOn w:val="Normal"/>
    <w:semiHidden/>
    <w:rsid w:val="00A20352"/>
    <w:rPr>
      <w:rFonts w:ascii="Tahoma" w:hAnsi="Tahoma" w:cs="Tahoma"/>
      <w:sz w:val="16"/>
      <w:szCs w:val="16"/>
    </w:rPr>
  </w:style>
  <w:style w:type="paragraph" w:customStyle="1" w:styleId="contactheading">
    <w:name w:val="contact heading"/>
    <w:basedOn w:val="Heading2"/>
    <w:rsid w:val="009C48F5"/>
    <w:pPr>
      <w:spacing w:before="120"/>
    </w:pPr>
    <w:rPr>
      <w:rFonts w:ascii="Times New Roman" w:hAnsi="Times New Roman"/>
    </w:rPr>
  </w:style>
  <w:style w:type="character" w:styleId="PageNumber">
    <w:name w:val="page number"/>
    <w:basedOn w:val="DefaultParagraphFont"/>
    <w:rsid w:val="008D7FA5"/>
  </w:style>
  <w:style w:type="paragraph" w:styleId="NormalWeb">
    <w:name w:val="Normal (Web)"/>
    <w:basedOn w:val="Normal"/>
    <w:uiPriority w:val="99"/>
    <w:rsid w:val="005E08C1"/>
    <w:pPr>
      <w:spacing w:before="100" w:beforeAutospacing="1" w:after="100" w:afterAutospacing="1"/>
    </w:pPr>
  </w:style>
  <w:style w:type="character" w:customStyle="1" w:styleId="Heading2Char">
    <w:name w:val="Heading 2 Char"/>
    <w:link w:val="Heading2"/>
    <w:rsid w:val="00797B17"/>
    <w:rPr>
      <w:rFonts w:ascii="Arial" w:hAnsi="Arial" w:cs="Arial"/>
      <w:b/>
      <w:bCs/>
      <w:iCs/>
      <w:sz w:val="24"/>
      <w:szCs w:val="28"/>
      <w:lang w:val="en-US" w:eastAsia="en-US" w:bidi="ar-SA"/>
    </w:rPr>
  </w:style>
  <w:style w:type="character" w:customStyle="1" w:styleId="FooterChar">
    <w:name w:val="Footer Char"/>
    <w:link w:val="Footer"/>
    <w:uiPriority w:val="99"/>
    <w:rsid w:val="00705F50"/>
    <w:rPr>
      <w:rFonts w:ascii="Arial" w:hAnsi="Arial"/>
      <w:sz w:val="18"/>
      <w:szCs w:val="24"/>
    </w:rPr>
  </w:style>
  <w:style w:type="table" w:styleId="TableGrid1">
    <w:name w:val="Table Grid 1"/>
    <w:basedOn w:val="TableNormal"/>
    <w:rsid w:val="00346418"/>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plus">
    <w:name w:val="normal plus"/>
    <w:basedOn w:val="Normal"/>
    <w:rsid w:val="000E783E"/>
    <w:pPr>
      <w:spacing w:after="20"/>
      <w:ind w:right="-620"/>
      <w:jc w:val="both"/>
    </w:pPr>
    <w:rPr>
      <w:rFonts w:ascii="New York" w:hAnsi="New York"/>
      <w:sz w:val="20"/>
      <w:szCs w:val="20"/>
    </w:rPr>
  </w:style>
  <w:style w:type="character" w:styleId="Strong">
    <w:name w:val="Strong"/>
    <w:uiPriority w:val="22"/>
    <w:qFormat/>
    <w:rsid w:val="00101F85"/>
    <w:rPr>
      <w:b/>
      <w:bCs/>
    </w:rPr>
  </w:style>
  <w:style w:type="paragraph" w:styleId="ListParagraph">
    <w:name w:val="List Paragraph"/>
    <w:basedOn w:val="Normal"/>
    <w:uiPriority w:val="34"/>
    <w:qFormat/>
    <w:rsid w:val="00CB5A11"/>
    <w:pPr>
      <w:spacing w:after="0"/>
      <w:ind w:left="720"/>
      <w:contextualSpacing/>
    </w:pPr>
    <w:rPr>
      <w:rFonts w:ascii="Cambria" w:eastAsia="MS Mincho" w:hAnsi="Cambria"/>
    </w:rPr>
  </w:style>
  <w:style w:type="paragraph" w:customStyle="1" w:styleId="BodyText1">
    <w:name w:val="Body Text1"/>
    <w:autoRedefine/>
    <w:rsid w:val="003A028D"/>
    <w:rPr>
      <w:rFonts w:eastAsia="ヒラギノ角ゴ Pro W3"/>
      <w:color w:val="000000"/>
      <w:sz w:val="24"/>
    </w:rPr>
  </w:style>
  <w:style w:type="character" w:customStyle="1" w:styleId="DocID">
    <w:name w:val="DocID"/>
    <w:rsid w:val="0071342C"/>
    <w:rPr>
      <w:rFonts w:ascii="Times New Roman" w:hAnsi="Times New Roman" w:cs="Times New Roman"/>
      <w:b w:val="0"/>
      <w:i w:val="0"/>
      <w:color w:val="000000"/>
      <w:sz w:val="16"/>
      <w:u w:val="none"/>
    </w:rPr>
  </w:style>
</w:styles>
</file>

<file path=word/webSettings.xml><?xml version="1.0" encoding="utf-8"?>
<w:webSettings xmlns:r="http://schemas.openxmlformats.org/officeDocument/2006/relationships" xmlns:w="http://schemas.openxmlformats.org/wordprocessingml/2006/main">
  <w:divs>
    <w:div w:id="294214508">
      <w:bodyDiv w:val="1"/>
      <w:marLeft w:val="0"/>
      <w:marRight w:val="0"/>
      <w:marTop w:val="0"/>
      <w:marBottom w:val="0"/>
      <w:divBdr>
        <w:top w:val="none" w:sz="0" w:space="0" w:color="auto"/>
        <w:left w:val="none" w:sz="0" w:space="0" w:color="auto"/>
        <w:bottom w:val="none" w:sz="0" w:space="0" w:color="auto"/>
        <w:right w:val="none" w:sz="0" w:space="0" w:color="auto"/>
      </w:divBdr>
    </w:div>
    <w:div w:id="607197523">
      <w:bodyDiv w:val="1"/>
      <w:marLeft w:val="0"/>
      <w:marRight w:val="0"/>
      <w:marTop w:val="0"/>
      <w:marBottom w:val="0"/>
      <w:divBdr>
        <w:top w:val="none" w:sz="0" w:space="0" w:color="auto"/>
        <w:left w:val="none" w:sz="0" w:space="0" w:color="auto"/>
        <w:bottom w:val="none" w:sz="0" w:space="0" w:color="auto"/>
        <w:right w:val="none" w:sz="0" w:space="0" w:color="auto"/>
      </w:divBdr>
      <w:divsChild>
        <w:div w:id="460806338">
          <w:marLeft w:val="0"/>
          <w:marRight w:val="0"/>
          <w:marTop w:val="0"/>
          <w:marBottom w:val="0"/>
          <w:divBdr>
            <w:top w:val="none" w:sz="0" w:space="0" w:color="auto"/>
            <w:left w:val="none" w:sz="0" w:space="0" w:color="auto"/>
            <w:bottom w:val="none" w:sz="0" w:space="0" w:color="auto"/>
            <w:right w:val="none" w:sz="0" w:space="0" w:color="auto"/>
          </w:divBdr>
          <w:divsChild>
            <w:div w:id="1404796467">
              <w:marLeft w:val="0"/>
              <w:marRight w:val="0"/>
              <w:marTop w:val="0"/>
              <w:marBottom w:val="0"/>
              <w:divBdr>
                <w:top w:val="none" w:sz="0" w:space="0" w:color="auto"/>
                <w:left w:val="none" w:sz="0" w:space="0" w:color="auto"/>
                <w:bottom w:val="none" w:sz="0" w:space="0" w:color="auto"/>
                <w:right w:val="none" w:sz="0" w:space="0" w:color="auto"/>
              </w:divBdr>
              <w:divsChild>
                <w:div w:id="1481919729">
                  <w:marLeft w:val="0"/>
                  <w:marRight w:val="0"/>
                  <w:marTop w:val="0"/>
                  <w:marBottom w:val="0"/>
                  <w:divBdr>
                    <w:top w:val="none" w:sz="0" w:space="0" w:color="auto"/>
                    <w:left w:val="none" w:sz="0" w:space="0" w:color="auto"/>
                    <w:bottom w:val="none" w:sz="0" w:space="0" w:color="auto"/>
                    <w:right w:val="none" w:sz="0" w:space="0" w:color="auto"/>
                  </w:divBdr>
                  <w:divsChild>
                    <w:div w:id="1982806412">
                      <w:marLeft w:val="0"/>
                      <w:marRight w:val="0"/>
                      <w:marTop w:val="0"/>
                      <w:marBottom w:val="0"/>
                      <w:divBdr>
                        <w:top w:val="none" w:sz="0" w:space="0" w:color="auto"/>
                        <w:left w:val="none" w:sz="0" w:space="0" w:color="auto"/>
                        <w:bottom w:val="none" w:sz="0" w:space="0" w:color="auto"/>
                        <w:right w:val="none" w:sz="0" w:space="0" w:color="auto"/>
                      </w:divBdr>
                      <w:divsChild>
                        <w:div w:id="410739575">
                          <w:marLeft w:val="0"/>
                          <w:marRight w:val="0"/>
                          <w:marTop w:val="0"/>
                          <w:marBottom w:val="0"/>
                          <w:divBdr>
                            <w:top w:val="none" w:sz="0" w:space="0" w:color="auto"/>
                            <w:left w:val="none" w:sz="0" w:space="0" w:color="auto"/>
                            <w:bottom w:val="none" w:sz="0" w:space="0" w:color="auto"/>
                            <w:right w:val="none" w:sz="0" w:space="0" w:color="auto"/>
                          </w:divBdr>
                          <w:divsChild>
                            <w:div w:id="573440267">
                              <w:marLeft w:val="0"/>
                              <w:marRight w:val="75"/>
                              <w:marTop w:val="0"/>
                              <w:marBottom w:val="0"/>
                              <w:divBdr>
                                <w:top w:val="none" w:sz="0" w:space="0" w:color="auto"/>
                                <w:left w:val="none" w:sz="0" w:space="0" w:color="auto"/>
                                <w:bottom w:val="none" w:sz="0" w:space="0" w:color="auto"/>
                                <w:right w:val="none" w:sz="0" w:space="0" w:color="auto"/>
                              </w:divBdr>
                              <w:divsChild>
                                <w:div w:id="40784352">
                                  <w:marLeft w:val="0"/>
                                  <w:marRight w:val="0"/>
                                  <w:marTop w:val="0"/>
                                  <w:marBottom w:val="0"/>
                                  <w:divBdr>
                                    <w:top w:val="none" w:sz="0" w:space="0" w:color="auto"/>
                                    <w:left w:val="none" w:sz="0" w:space="0" w:color="auto"/>
                                    <w:bottom w:val="none" w:sz="0" w:space="0" w:color="auto"/>
                                    <w:right w:val="none" w:sz="0" w:space="0" w:color="auto"/>
                                  </w:divBdr>
                                  <w:divsChild>
                                    <w:div w:id="1654749673">
                                      <w:marLeft w:val="150"/>
                                      <w:marRight w:val="150"/>
                                      <w:marTop w:val="0"/>
                                      <w:marBottom w:val="0"/>
                                      <w:divBdr>
                                        <w:top w:val="none" w:sz="0" w:space="0" w:color="auto"/>
                                        <w:left w:val="none" w:sz="0" w:space="0" w:color="auto"/>
                                        <w:bottom w:val="none" w:sz="0" w:space="0" w:color="auto"/>
                                        <w:right w:val="none" w:sz="0" w:space="0" w:color="auto"/>
                                      </w:divBdr>
                                      <w:divsChild>
                                        <w:div w:id="1429158171">
                                          <w:marLeft w:val="0"/>
                                          <w:marRight w:val="0"/>
                                          <w:marTop w:val="0"/>
                                          <w:marBottom w:val="0"/>
                                          <w:divBdr>
                                            <w:top w:val="none" w:sz="0" w:space="0" w:color="auto"/>
                                            <w:left w:val="none" w:sz="0" w:space="0" w:color="auto"/>
                                            <w:bottom w:val="none" w:sz="0" w:space="0" w:color="auto"/>
                                            <w:right w:val="none" w:sz="0" w:space="0" w:color="auto"/>
                                          </w:divBdr>
                                          <w:divsChild>
                                            <w:div w:id="10864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463503">
      <w:bodyDiv w:val="1"/>
      <w:marLeft w:val="0"/>
      <w:marRight w:val="0"/>
      <w:marTop w:val="0"/>
      <w:marBottom w:val="0"/>
      <w:divBdr>
        <w:top w:val="none" w:sz="0" w:space="0" w:color="auto"/>
        <w:left w:val="none" w:sz="0" w:space="0" w:color="auto"/>
        <w:bottom w:val="none" w:sz="0" w:space="0" w:color="auto"/>
        <w:right w:val="none" w:sz="0" w:space="0" w:color="auto"/>
      </w:divBdr>
    </w:div>
    <w:div w:id="803274897">
      <w:bodyDiv w:val="1"/>
      <w:marLeft w:val="0"/>
      <w:marRight w:val="0"/>
      <w:marTop w:val="0"/>
      <w:marBottom w:val="0"/>
      <w:divBdr>
        <w:top w:val="none" w:sz="0" w:space="0" w:color="auto"/>
        <w:left w:val="none" w:sz="0" w:space="0" w:color="auto"/>
        <w:bottom w:val="none" w:sz="0" w:space="0" w:color="auto"/>
        <w:right w:val="none" w:sz="0" w:space="0" w:color="auto"/>
      </w:divBdr>
      <w:divsChild>
        <w:div w:id="882405121">
          <w:marLeft w:val="0"/>
          <w:marRight w:val="0"/>
          <w:marTop w:val="0"/>
          <w:marBottom w:val="0"/>
          <w:divBdr>
            <w:top w:val="none" w:sz="0" w:space="0" w:color="auto"/>
            <w:left w:val="single" w:sz="4" w:space="0" w:color="DED8C8"/>
            <w:bottom w:val="none" w:sz="0" w:space="0" w:color="auto"/>
            <w:right w:val="single" w:sz="4" w:space="0" w:color="DED8C8"/>
          </w:divBdr>
          <w:divsChild>
            <w:div w:id="189610690">
              <w:marLeft w:val="0"/>
              <w:marRight w:val="0"/>
              <w:marTop w:val="0"/>
              <w:marBottom w:val="0"/>
              <w:divBdr>
                <w:top w:val="none" w:sz="0" w:space="0" w:color="auto"/>
                <w:left w:val="single" w:sz="4" w:space="3" w:color="DED8C8"/>
                <w:bottom w:val="none" w:sz="0" w:space="0" w:color="auto"/>
                <w:right w:val="single" w:sz="4" w:space="3" w:color="DED8C8"/>
              </w:divBdr>
            </w:div>
            <w:div w:id="1138886220">
              <w:marLeft w:val="0"/>
              <w:marRight w:val="0"/>
              <w:marTop w:val="0"/>
              <w:marBottom w:val="0"/>
              <w:divBdr>
                <w:top w:val="none" w:sz="0" w:space="0" w:color="auto"/>
                <w:left w:val="none" w:sz="0" w:space="0" w:color="auto"/>
                <w:bottom w:val="none" w:sz="0" w:space="0" w:color="auto"/>
                <w:right w:val="none" w:sz="0" w:space="0" w:color="auto"/>
              </w:divBdr>
              <w:divsChild>
                <w:div w:id="1600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01491">
      <w:bodyDiv w:val="1"/>
      <w:marLeft w:val="0"/>
      <w:marRight w:val="0"/>
      <w:marTop w:val="0"/>
      <w:marBottom w:val="0"/>
      <w:divBdr>
        <w:top w:val="none" w:sz="0" w:space="0" w:color="auto"/>
        <w:left w:val="none" w:sz="0" w:space="0" w:color="auto"/>
        <w:bottom w:val="none" w:sz="0" w:space="0" w:color="auto"/>
        <w:right w:val="none" w:sz="0" w:space="0" w:color="auto"/>
      </w:divBdr>
      <w:divsChild>
        <w:div w:id="857080086">
          <w:marLeft w:val="1051"/>
          <w:marRight w:val="0"/>
          <w:marTop w:val="86"/>
          <w:marBottom w:val="0"/>
          <w:divBdr>
            <w:top w:val="none" w:sz="0" w:space="0" w:color="auto"/>
            <w:left w:val="none" w:sz="0" w:space="0" w:color="auto"/>
            <w:bottom w:val="none" w:sz="0" w:space="0" w:color="auto"/>
            <w:right w:val="none" w:sz="0" w:space="0" w:color="auto"/>
          </w:divBdr>
        </w:div>
        <w:div w:id="1214273110">
          <w:marLeft w:val="547"/>
          <w:marRight w:val="0"/>
          <w:marTop w:val="125"/>
          <w:marBottom w:val="0"/>
          <w:divBdr>
            <w:top w:val="none" w:sz="0" w:space="0" w:color="auto"/>
            <w:left w:val="none" w:sz="0" w:space="0" w:color="auto"/>
            <w:bottom w:val="none" w:sz="0" w:space="0" w:color="auto"/>
            <w:right w:val="none" w:sz="0" w:space="0" w:color="auto"/>
          </w:divBdr>
        </w:div>
      </w:divsChild>
    </w:div>
    <w:div w:id="900482775">
      <w:bodyDiv w:val="1"/>
      <w:marLeft w:val="0"/>
      <w:marRight w:val="0"/>
      <w:marTop w:val="0"/>
      <w:marBottom w:val="0"/>
      <w:divBdr>
        <w:top w:val="none" w:sz="0" w:space="0" w:color="auto"/>
        <w:left w:val="none" w:sz="0" w:space="0" w:color="auto"/>
        <w:bottom w:val="none" w:sz="0" w:space="0" w:color="auto"/>
        <w:right w:val="none" w:sz="0" w:space="0" w:color="auto"/>
      </w:divBdr>
    </w:div>
    <w:div w:id="1113553649">
      <w:bodyDiv w:val="1"/>
      <w:marLeft w:val="0"/>
      <w:marRight w:val="0"/>
      <w:marTop w:val="0"/>
      <w:marBottom w:val="0"/>
      <w:divBdr>
        <w:top w:val="none" w:sz="0" w:space="0" w:color="auto"/>
        <w:left w:val="none" w:sz="0" w:space="0" w:color="auto"/>
        <w:bottom w:val="none" w:sz="0" w:space="0" w:color="auto"/>
        <w:right w:val="none" w:sz="0" w:space="0" w:color="auto"/>
      </w:divBdr>
    </w:div>
    <w:div w:id="1150901656">
      <w:bodyDiv w:val="1"/>
      <w:marLeft w:val="0"/>
      <w:marRight w:val="0"/>
      <w:marTop w:val="0"/>
      <w:marBottom w:val="0"/>
      <w:divBdr>
        <w:top w:val="none" w:sz="0" w:space="0" w:color="auto"/>
        <w:left w:val="none" w:sz="0" w:space="0" w:color="auto"/>
        <w:bottom w:val="none" w:sz="0" w:space="0" w:color="auto"/>
        <w:right w:val="none" w:sz="0" w:space="0" w:color="auto"/>
      </w:divBdr>
    </w:div>
    <w:div w:id="1460956322">
      <w:bodyDiv w:val="1"/>
      <w:marLeft w:val="0"/>
      <w:marRight w:val="0"/>
      <w:marTop w:val="0"/>
      <w:marBottom w:val="0"/>
      <w:divBdr>
        <w:top w:val="none" w:sz="0" w:space="0" w:color="auto"/>
        <w:left w:val="none" w:sz="0" w:space="0" w:color="auto"/>
        <w:bottom w:val="none" w:sz="0" w:space="0" w:color="auto"/>
        <w:right w:val="none" w:sz="0" w:space="0" w:color="auto"/>
      </w:divBdr>
      <w:divsChild>
        <w:div w:id="1133522659">
          <w:marLeft w:val="0"/>
          <w:marRight w:val="0"/>
          <w:marTop w:val="0"/>
          <w:marBottom w:val="0"/>
          <w:divBdr>
            <w:top w:val="none" w:sz="0" w:space="0" w:color="auto"/>
            <w:left w:val="none" w:sz="0" w:space="0" w:color="auto"/>
            <w:bottom w:val="none" w:sz="0" w:space="0" w:color="auto"/>
            <w:right w:val="none" w:sz="0" w:space="0" w:color="auto"/>
          </w:divBdr>
        </w:div>
      </w:divsChild>
    </w:div>
    <w:div w:id="1708023047">
      <w:bodyDiv w:val="1"/>
      <w:marLeft w:val="0"/>
      <w:marRight w:val="0"/>
      <w:marTop w:val="0"/>
      <w:marBottom w:val="0"/>
      <w:divBdr>
        <w:top w:val="none" w:sz="0" w:space="0" w:color="auto"/>
        <w:left w:val="none" w:sz="0" w:space="0" w:color="auto"/>
        <w:bottom w:val="none" w:sz="0" w:space="0" w:color="auto"/>
        <w:right w:val="none" w:sz="0" w:space="0" w:color="auto"/>
      </w:divBdr>
    </w:div>
    <w:div w:id="2082831868">
      <w:bodyDiv w:val="1"/>
      <w:marLeft w:val="0"/>
      <w:marRight w:val="0"/>
      <w:marTop w:val="0"/>
      <w:marBottom w:val="0"/>
      <w:divBdr>
        <w:top w:val="none" w:sz="0" w:space="0" w:color="auto"/>
        <w:left w:val="none" w:sz="0" w:space="0" w:color="auto"/>
        <w:bottom w:val="none" w:sz="0" w:space="0" w:color="auto"/>
        <w:right w:val="none" w:sz="0" w:space="0" w:color="auto"/>
      </w:divBdr>
      <w:divsChild>
        <w:div w:id="89476495">
          <w:marLeft w:val="0"/>
          <w:marRight w:val="0"/>
          <w:marTop w:val="0"/>
          <w:marBottom w:val="0"/>
          <w:divBdr>
            <w:top w:val="none" w:sz="0" w:space="0" w:color="auto"/>
            <w:left w:val="none" w:sz="0" w:space="0" w:color="auto"/>
            <w:bottom w:val="none" w:sz="0" w:space="0" w:color="auto"/>
            <w:right w:val="none" w:sz="0" w:space="0" w:color="auto"/>
          </w:divBdr>
          <w:divsChild>
            <w:div w:id="805271227">
              <w:marLeft w:val="0"/>
              <w:marRight w:val="0"/>
              <w:marTop w:val="0"/>
              <w:marBottom w:val="0"/>
              <w:divBdr>
                <w:top w:val="none" w:sz="0" w:space="0" w:color="auto"/>
                <w:left w:val="none" w:sz="0" w:space="0" w:color="auto"/>
                <w:bottom w:val="none" w:sz="0" w:space="0" w:color="auto"/>
                <w:right w:val="none" w:sz="0" w:space="0" w:color="auto"/>
              </w:divBdr>
              <w:divsChild>
                <w:div w:id="1274090599">
                  <w:marLeft w:val="0"/>
                  <w:marRight w:val="0"/>
                  <w:marTop w:val="0"/>
                  <w:marBottom w:val="0"/>
                  <w:divBdr>
                    <w:top w:val="none" w:sz="0" w:space="0" w:color="auto"/>
                    <w:left w:val="none" w:sz="0" w:space="0" w:color="auto"/>
                    <w:bottom w:val="none" w:sz="0" w:space="0" w:color="auto"/>
                    <w:right w:val="none" w:sz="0" w:space="0" w:color="auto"/>
                  </w:divBdr>
                  <w:divsChild>
                    <w:div w:id="1400402824">
                      <w:marLeft w:val="0"/>
                      <w:marRight w:val="0"/>
                      <w:marTop w:val="0"/>
                      <w:marBottom w:val="0"/>
                      <w:divBdr>
                        <w:top w:val="none" w:sz="0" w:space="0" w:color="auto"/>
                        <w:left w:val="none" w:sz="0" w:space="0" w:color="auto"/>
                        <w:bottom w:val="none" w:sz="0" w:space="0" w:color="auto"/>
                        <w:right w:val="none" w:sz="0" w:space="0" w:color="auto"/>
                      </w:divBdr>
                      <w:divsChild>
                        <w:div w:id="249893691">
                          <w:marLeft w:val="0"/>
                          <w:marRight w:val="0"/>
                          <w:marTop w:val="0"/>
                          <w:marBottom w:val="0"/>
                          <w:divBdr>
                            <w:top w:val="none" w:sz="0" w:space="0" w:color="auto"/>
                            <w:left w:val="none" w:sz="0" w:space="0" w:color="auto"/>
                            <w:bottom w:val="none" w:sz="0" w:space="0" w:color="auto"/>
                            <w:right w:val="none" w:sz="0" w:space="0" w:color="auto"/>
                          </w:divBdr>
                          <w:divsChild>
                            <w:div w:id="1311983234">
                              <w:marLeft w:val="0"/>
                              <w:marRight w:val="75"/>
                              <w:marTop w:val="0"/>
                              <w:marBottom w:val="0"/>
                              <w:divBdr>
                                <w:top w:val="none" w:sz="0" w:space="0" w:color="auto"/>
                                <w:left w:val="none" w:sz="0" w:space="0" w:color="auto"/>
                                <w:bottom w:val="none" w:sz="0" w:space="0" w:color="auto"/>
                                <w:right w:val="none" w:sz="0" w:space="0" w:color="auto"/>
                              </w:divBdr>
                              <w:divsChild>
                                <w:div w:id="1159923424">
                                  <w:marLeft w:val="0"/>
                                  <w:marRight w:val="0"/>
                                  <w:marTop w:val="0"/>
                                  <w:marBottom w:val="0"/>
                                  <w:divBdr>
                                    <w:top w:val="none" w:sz="0" w:space="0" w:color="auto"/>
                                    <w:left w:val="none" w:sz="0" w:space="0" w:color="auto"/>
                                    <w:bottom w:val="none" w:sz="0" w:space="0" w:color="auto"/>
                                    <w:right w:val="none" w:sz="0" w:space="0" w:color="auto"/>
                                  </w:divBdr>
                                  <w:divsChild>
                                    <w:div w:id="1267427577">
                                      <w:marLeft w:val="150"/>
                                      <w:marRight w:val="150"/>
                                      <w:marTop w:val="0"/>
                                      <w:marBottom w:val="0"/>
                                      <w:divBdr>
                                        <w:top w:val="none" w:sz="0" w:space="0" w:color="auto"/>
                                        <w:left w:val="none" w:sz="0" w:space="0" w:color="auto"/>
                                        <w:bottom w:val="none" w:sz="0" w:space="0" w:color="auto"/>
                                        <w:right w:val="none" w:sz="0" w:space="0" w:color="auto"/>
                                      </w:divBdr>
                                      <w:divsChild>
                                        <w:div w:id="1930768372">
                                          <w:marLeft w:val="0"/>
                                          <w:marRight w:val="0"/>
                                          <w:marTop w:val="0"/>
                                          <w:marBottom w:val="0"/>
                                          <w:divBdr>
                                            <w:top w:val="none" w:sz="0" w:space="0" w:color="auto"/>
                                            <w:left w:val="none" w:sz="0" w:space="0" w:color="auto"/>
                                            <w:bottom w:val="none" w:sz="0" w:space="0" w:color="auto"/>
                                            <w:right w:val="none" w:sz="0" w:space="0" w:color="auto"/>
                                          </w:divBdr>
                                          <w:divsChild>
                                            <w:div w:id="69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81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wrskinner@fenwick.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irs.gov/pub/irs-pdf/f11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sjsu.edu/judicial_affairs/index.html" TargetMode="External"/><Relationship Id="rId5" Type="http://schemas.openxmlformats.org/officeDocument/2006/relationships/webSettings" Target="webSettings.xml"/><Relationship Id="rId15" Type="http://schemas.openxmlformats.org/officeDocument/2006/relationships/hyperlink" Target="http://www.irs.gov/Individuals/International-Taxpayers/Tax-Treaties" TargetMode="External"/><Relationship Id="rId10" Type="http://schemas.openxmlformats.org/officeDocument/2006/relationships/hyperlink" Target="http://www.sa.sjsu.edu/download/judicial_affairs/Academic_Integrity_Policy_S07-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rs.gov/Businesses/Corporations/International-Practice-Units" TargetMode="External"/><Relationship Id="rId14" Type="http://schemas.openxmlformats.org/officeDocument/2006/relationships/hyperlink" Target="http://www.irs.gov/Individuals/International-Taxpayers/Taxation-of-Nonresident-Ali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906C3-2185-41F2-AC33-EF461550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2742</Words>
  <Characters>15632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lpstr>
    </vt:vector>
  </TitlesOfParts>
  <Company>Fenwick &amp; West LLP</Company>
  <LinksUpToDate>false</LinksUpToDate>
  <CharactersWithSpaces>18338</CharactersWithSpaces>
  <SharedDoc>false</SharedDoc>
  <HLinks>
    <vt:vector size="42" baseType="variant">
      <vt:variant>
        <vt:i4>4653128</vt:i4>
      </vt:variant>
      <vt:variant>
        <vt:i4>18</vt:i4>
      </vt:variant>
      <vt:variant>
        <vt:i4>0</vt:i4>
      </vt:variant>
      <vt:variant>
        <vt:i4>5</vt:i4>
      </vt:variant>
      <vt:variant>
        <vt:lpwstr>http://www.irs.gov/pub/irs-pdf/f1118.pdf</vt:lpwstr>
      </vt:variant>
      <vt:variant>
        <vt:lpwstr/>
      </vt:variant>
      <vt:variant>
        <vt:i4>4128805</vt:i4>
      </vt:variant>
      <vt:variant>
        <vt:i4>15</vt:i4>
      </vt:variant>
      <vt:variant>
        <vt:i4>0</vt:i4>
      </vt:variant>
      <vt:variant>
        <vt:i4>5</vt:i4>
      </vt:variant>
      <vt:variant>
        <vt:lpwstr>http://www.irs.gov/Individuals/International-Taxpayers/Tax-Treaties</vt:lpwstr>
      </vt:variant>
      <vt:variant>
        <vt:lpwstr/>
      </vt:variant>
      <vt:variant>
        <vt:i4>1310742</vt:i4>
      </vt:variant>
      <vt:variant>
        <vt:i4>12</vt:i4>
      </vt:variant>
      <vt:variant>
        <vt:i4>0</vt:i4>
      </vt:variant>
      <vt:variant>
        <vt:i4>5</vt:i4>
      </vt:variant>
      <vt:variant>
        <vt:lpwstr>http://www.irs.gov/Individuals/International-Taxpayers/Taxation-of-Nonresident-Aliens</vt:lpwstr>
      </vt:variant>
      <vt:variant>
        <vt:lpwstr/>
      </vt:variant>
      <vt:variant>
        <vt:i4>5046304</vt:i4>
      </vt:variant>
      <vt:variant>
        <vt:i4>9</vt:i4>
      </vt:variant>
      <vt:variant>
        <vt:i4>0</vt:i4>
      </vt:variant>
      <vt:variant>
        <vt:i4>5</vt:i4>
      </vt:variant>
      <vt:variant>
        <vt:lpwstr>http://www.sa.sjsu.edu/judicial_affairs/index.html</vt:lpwstr>
      </vt:variant>
      <vt:variant>
        <vt:lpwstr/>
      </vt:variant>
      <vt:variant>
        <vt:i4>5374019</vt:i4>
      </vt:variant>
      <vt:variant>
        <vt:i4>6</vt:i4>
      </vt:variant>
      <vt:variant>
        <vt:i4>0</vt:i4>
      </vt:variant>
      <vt:variant>
        <vt:i4>5</vt:i4>
      </vt:variant>
      <vt:variant>
        <vt:lpwstr>http://www.sa.sjsu.edu/download/judicial_affairs/Academic_Integrity_Policy_S07-2.pdf</vt:lpwstr>
      </vt:variant>
      <vt:variant>
        <vt:lpwstr/>
      </vt:variant>
      <vt:variant>
        <vt:i4>3604529</vt:i4>
      </vt:variant>
      <vt:variant>
        <vt:i4>3</vt:i4>
      </vt:variant>
      <vt:variant>
        <vt:i4>0</vt:i4>
      </vt:variant>
      <vt:variant>
        <vt:i4>5</vt:i4>
      </vt:variant>
      <vt:variant>
        <vt:lpwstr>http://www.irs.gov/Businesses/Corporations/International-Practice-Units</vt:lpwstr>
      </vt:variant>
      <vt:variant>
        <vt:lpwstr/>
      </vt:variant>
      <vt:variant>
        <vt:i4>1507368</vt:i4>
      </vt:variant>
      <vt:variant>
        <vt:i4>0</vt:i4>
      </vt:variant>
      <vt:variant>
        <vt:i4>0</vt:i4>
      </vt:variant>
      <vt:variant>
        <vt:i4>5</vt:i4>
      </vt:variant>
      <vt:variant>
        <vt:lpwstr>mailto:wrskinner@fenwick.com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Skinner</dc:creator>
  <cp:lastModifiedBy>Catherine Dougherty</cp:lastModifiedBy>
  <cp:revision>2</cp:revision>
  <dcterms:created xsi:type="dcterms:W3CDTF">2015-09-08T16:16:00Z</dcterms:created>
  <dcterms:modified xsi:type="dcterms:W3CDTF">2015-09-08T16:16:00Z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f4b22894-c9bb-4d07-aa58-0c71843a36a5</vt:lpwstr>
  </property>
  <property fmtid="{D5CDD505-2E9C-101B-9397-08002B2CF9AE}" pid="3" name="DocID">
    <vt:lpwstr>DOCS/3483869.1</vt:lpwstr>
  </property>
</Properties>
</file>