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FEECB" w14:textId="77777777" w:rsidR="007520B0" w:rsidRPr="00CF19A7" w:rsidRDefault="007520B0" w:rsidP="007520B0">
      <w:pPr>
        <w:shd w:val="clear" w:color="auto" w:fill="FFFFFF"/>
        <w:wordWrap w:val="0"/>
        <w:spacing w:after="0" w:line="240" w:lineRule="auto"/>
        <w:outlineLvl w:val="0"/>
        <w:rPr>
          <w:rFonts w:eastAsia="Times New Roman" w:cstheme="minorHAnsi"/>
          <w:color w:val="2D3B45"/>
          <w:sz w:val="24"/>
          <w:szCs w:val="24"/>
        </w:rPr>
      </w:pPr>
      <w:bookmarkStart w:id="0" w:name="_GoBack"/>
      <w:bookmarkEnd w:id="0"/>
      <w:r w:rsidRPr="00CF19A7">
        <w:rPr>
          <w:rFonts w:eastAsia="Times New Roman" w:cstheme="minorHAnsi"/>
          <w:color w:val="2D3B45"/>
          <w:kern w:val="36"/>
          <w:sz w:val="43"/>
          <w:szCs w:val="43"/>
        </w:rPr>
        <w:t>Course Syllabus</w:t>
      </w:r>
      <w:r w:rsidRPr="00CF19A7">
        <w:rPr>
          <w:rFonts w:eastAsia="Times New Roman" w:cstheme="minorHAnsi"/>
          <w:color w:val="2D3B45"/>
          <w:sz w:val="24"/>
          <w:szCs w:val="24"/>
        </w:rPr>
        <w:t xml:space="preserve"> </w:t>
      </w:r>
    </w:p>
    <w:p w14:paraId="7E18CC71" w14:textId="77777777" w:rsidR="007520B0" w:rsidRPr="00CF19A7" w:rsidRDefault="007520B0" w:rsidP="007520B0">
      <w:pPr>
        <w:shd w:val="clear" w:color="auto" w:fill="FFFFFF"/>
        <w:spacing w:before="90" w:after="90" w:line="240" w:lineRule="auto"/>
        <w:outlineLvl w:val="0"/>
        <w:rPr>
          <w:rFonts w:eastAsia="Times New Roman" w:cstheme="minorHAnsi"/>
          <w:color w:val="2D3B45"/>
          <w:kern w:val="36"/>
          <w:sz w:val="43"/>
          <w:szCs w:val="43"/>
        </w:rPr>
      </w:pPr>
      <w:r w:rsidRPr="00CF19A7">
        <w:rPr>
          <w:rFonts w:eastAsia="Times New Roman" w:cstheme="minorHAnsi"/>
          <w:b/>
          <w:bCs/>
          <w:color w:val="2D3B45"/>
          <w:kern w:val="36"/>
          <w:sz w:val="43"/>
          <w:szCs w:val="43"/>
        </w:rPr>
        <w:t>BUS 227A – Individual Tax Compliance</w:t>
      </w:r>
      <w:r w:rsidRPr="00CF19A7">
        <w:rPr>
          <w:rFonts w:eastAsia="Times New Roman" w:cstheme="minorHAnsi"/>
          <w:b/>
          <w:bCs/>
          <w:color w:val="2D3B45"/>
          <w:kern w:val="36"/>
          <w:sz w:val="43"/>
          <w:szCs w:val="43"/>
        </w:rPr>
        <w:br/>
      </w:r>
      <w:r w:rsidRPr="00CF19A7">
        <w:rPr>
          <w:rFonts w:eastAsia="Times New Roman" w:cstheme="minorHAnsi"/>
          <w:color w:val="2D3B45"/>
          <w:kern w:val="36"/>
          <w:sz w:val="43"/>
          <w:szCs w:val="43"/>
        </w:rPr>
        <w:br/>
        <w:t>Semester: Early Spring</w:t>
      </w:r>
    </w:p>
    <w:p w14:paraId="1867FE12" w14:textId="77777777" w:rsidR="007520B0" w:rsidRPr="00CF19A7" w:rsidRDefault="007520B0" w:rsidP="007520B0">
      <w:pPr>
        <w:shd w:val="clear" w:color="auto" w:fill="FFFFFF"/>
        <w:spacing w:before="90" w:after="150" w:line="240" w:lineRule="auto"/>
        <w:outlineLvl w:val="0"/>
        <w:rPr>
          <w:rFonts w:eastAsia="Times New Roman" w:cstheme="minorHAnsi"/>
          <w:color w:val="2D3B45"/>
          <w:kern w:val="36"/>
          <w:sz w:val="43"/>
          <w:szCs w:val="43"/>
        </w:rPr>
      </w:pPr>
      <w:r w:rsidRPr="00CF19A7">
        <w:rPr>
          <w:rFonts w:eastAsia="Times New Roman" w:cstheme="minorHAnsi"/>
          <w:color w:val="2D3B45"/>
          <w:kern w:val="36"/>
          <w:sz w:val="43"/>
          <w:szCs w:val="43"/>
        </w:rPr>
        <w:t>Year: 2021</w:t>
      </w:r>
    </w:p>
    <w:tbl>
      <w:tblPr>
        <w:tblW w:w="9285" w:type="dxa"/>
        <w:tblInd w:w="75" w:type="dxa"/>
        <w:tblLook w:val="04A0" w:firstRow="1" w:lastRow="0" w:firstColumn="1" w:lastColumn="0" w:noHBand="0" w:noVBand="1"/>
      </w:tblPr>
      <w:tblGrid>
        <w:gridCol w:w="2192"/>
        <w:gridCol w:w="7093"/>
      </w:tblGrid>
      <w:tr w:rsidR="007520B0" w:rsidRPr="00CF19A7" w14:paraId="15628214" w14:textId="77777777" w:rsidTr="007520B0">
        <w:tc>
          <w:tcPr>
            <w:tcW w:w="2192" w:type="dxa"/>
            <w:tcMar>
              <w:top w:w="30" w:type="dxa"/>
              <w:left w:w="30" w:type="dxa"/>
              <w:bottom w:w="30" w:type="dxa"/>
              <w:right w:w="30" w:type="dxa"/>
            </w:tcMar>
            <w:vAlign w:val="center"/>
            <w:hideMark/>
          </w:tcPr>
          <w:p w14:paraId="688AA51F"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Instructor:</w:t>
            </w:r>
          </w:p>
        </w:tc>
        <w:tc>
          <w:tcPr>
            <w:tcW w:w="7093" w:type="dxa"/>
            <w:tcMar>
              <w:top w:w="30" w:type="dxa"/>
              <w:left w:w="30" w:type="dxa"/>
              <w:bottom w:w="30" w:type="dxa"/>
              <w:right w:w="30" w:type="dxa"/>
            </w:tcMar>
            <w:vAlign w:val="center"/>
            <w:hideMark/>
          </w:tcPr>
          <w:p w14:paraId="29ED7306"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David J Neighbors, CPA, MST – Partner, BDO</w:t>
            </w:r>
          </w:p>
        </w:tc>
      </w:tr>
      <w:tr w:rsidR="007520B0" w:rsidRPr="00CF19A7" w14:paraId="66081963" w14:textId="77777777" w:rsidTr="007520B0">
        <w:tc>
          <w:tcPr>
            <w:tcW w:w="2192" w:type="dxa"/>
            <w:tcMar>
              <w:top w:w="30" w:type="dxa"/>
              <w:left w:w="30" w:type="dxa"/>
              <w:bottom w:w="30" w:type="dxa"/>
              <w:right w:w="30" w:type="dxa"/>
            </w:tcMar>
            <w:vAlign w:val="center"/>
            <w:hideMark/>
          </w:tcPr>
          <w:p w14:paraId="7F24E505"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Email:</w:t>
            </w:r>
          </w:p>
        </w:tc>
        <w:tc>
          <w:tcPr>
            <w:tcW w:w="7093" w:type="dxa"/>
            <w:tcMar>
              <w:top w:w="30" w:type="dxa"/>
              <w:left w:w="30" w:type="dxa"/>
              <w:bottom w:w="30" w:type="dxa"/>
              <w:right w:w="30" w:type="dxa"/>
            </w:tcMar>
            <w:vAlign w:val="center"/>
            <w:hideMark/>
          </w:tcPr>
          <w:p w14:paraId="4572F404"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u w:val="single"/>
              </w:rPr>
              <w:t>dneighbors@bdo.com</w:t>
            </w:r>
          </w:p>
        </w:tc>
      </w:tr>
      <w:tr w:rsidR="007520B0" w:rsidRPr="00CF19A7" w14:paraId="39B20DBE" w14:textId="77777777" w:rsidTr="007520B0">
        <w:tc>
          <w:tcPr>
            <w:tcW w:w="2192" w:type="dxa"/>
            <w:tcMar>
              <w:top w:w="30" w:type="dxa"/>
              <w:left w:w="30" w:type="dxa"/>
              <w:bottom w:w="30" w:type="dxa"/>
              <w:right w:w="30" w:type="dxa"/>
            </w:tcMar>
            <w:vAlign w:val="center"/>
            <w:hideMark/>
          </w:tcPr>
          <w:p w14:paraId="5FC2E64C"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Office Hours:</w:t>
            </w:r>
          </w:p>
        </w:tc>
        <w:tc>
          <w:tcPr>
            <w:tcW w:w="7093" w:type="dxa"/>
            <w:tcMar>
              <w:top w:w="30" w:type="dxa"/>
              <w:left w:w="30" w:type="dxa"/>
              <w:bottom w:w="30" w:type="dxa"/>
              <w:right w:w="30" w:type="dxa"/>
            </w:tcMar>
            <w:vAlign w:val="center"/>
            <w:hideMark/>
          </w:tcPr>
          <w:p w14:paraId="5309CAB3"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On an as-requested basis. Sessions to be held via phone call or zoom.</w:t>
            </w:r>
          </w:p>
        </w:tc>
      </w:tr>
      <w:tr w:rsidR="007520B0" w:rsidRPr="00CF19A7" w14:paraId="241A7CF7" w14:textId="77777777" w:rsidTr="007520B0">
        <w:tc>
          <w:tcPr>
            <w:tcW w:w="2192" w:type="dxa"/>
            <w:tcMar>
              <w:top w:w="30" w:type="dxa"/>
              <w:left w:w="30" w:type="dxa"/>
              <w:bottom w:w="30" w:type="dxa"/>
              <w:right w:w="30" w:type="dxa"/>
            </w:tcMar>
            <w:vAlign w:val="center"/>
            <w:hideMark/>
          </w:tcPr>
          <w:p w14:paraId="7EC60E42"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Class Days/Time:</w:t>
            </w:r>
          </w:p>
        </w:tc>
        <w:tc>
          <w:tcPr>
            <w:tcW w:w="7093" w:type="dxa"/>
            <w:tcMar>
              <w:top w:w="30" w:type="dxa"/>
              <w:left w:w="30" w:type="dxa"/>
              <w:bottom w:w="30" w:type="dxa"/>
              <w:right w:w="30" w:type="dxa"/>
            </w:tcMar>
            <w:vAlign w:val="center"/>
            <w:hideMark/>
          </w:tcPr>
          <w:p w14:paraId="0F1DEAD2"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Fridays</w:t>
            </w:r>
          </w:p>
          <w:p w14:paraId="09C6430C"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1/8 – 1/15</w:t>
            </w:r>
          </w:p>
          <w:p w14:paraId="1606E526"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8:30PM – 4:30PM</w:t>
            </w:r>
          </w:p>
          <w:p w14:paraId="2191A8B7" w14:textId="2E2ACF2E" w:rsidR="007520B0" w:rsidRPr="00CF19A7" w:rsidRDefault="007520B0">
            <w:pPr>
              <w:spacing w:before="180" w:after="180" w:line="240" w:lineRule="auto"/>
              <w:rPr>
                <w:rFonts w:eastAsia="Times New Roman" w:cstheme="minorHAnsi"/>
                <w:sz w:val="24"/>
                <w:szCs w:val="24"/>
              </w:rPr>
            </w:pPr>
            <w:bookmarkStart w:id="1" w:name="_Hlk50576751"/>
            <w:r w:rsidRPr="00CF19A7">
              <w:rPr>
                <w:rFonts w:eastAsia="Times New Roman" w:cstheme="minorHAnsi"/>
                <w:sz w:val="24"/>
                <w:szCs w:val="24"/>
              </w:rPr>
              <w:t xml:space="preserve">All class sessions are via Zoom. Zoom login information to be posted in </w:t>
            </w:r>
            <w:r w:rsidR="00CF19A7" w:rsidRPr="00CF19A7">
              <w:rPr>
                <w:rFonts w:eastAsia="Times New Roman" w:cstheme="minorHAnsi"/>
                <w:sz w:val="24"/>
                <w:szCs w:val="24"/>
              </w:rPr>
              <w:t>the calendar</w:t>
            </w:r>
            <w:r w:rsidRPr="00CF19A7">
              <w:rPr>
                <w:rFonts w:eastAsia="Times New Roman" w:cstheme="minorHAnsi"/>
                <w:sz w:val="24"/>
                <w:szCs w:val="24"/>
              </w:rPr>
              <w:t xml:space="preserve"> section on Canvas.</w:t>
            </w:r>
          </w:p>
          <w:p w14:paraId="6C023A03"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NOTE: Students are highly encouraged to have their cameras on during class to improve interaction and attentiveness.</w:t>
            </w:r>
            <w:bookmarkEnd w:id="1"/>
          </w:p>
          <w:p w14:paraId="2C787482"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 </w:t>
            </w:r>
          </w:p>
        </w:tc>
      </w:tr>
    </w:tbl>
    <w:p w14:paraId="2738CC20" w14:textId="77777777" w:rsidR="007520B0" w:rsidRPr="00CF19A7" w:rsidRDefault="007520B0" w:rsidP="007520B0">
      <w:pPr>
        <w:shd w:val="clear" w:color="auto" w:fill="FFFFFF"/>
        <w:spacing w:before="90" w:after="90" w:line="240" w:lineRule="auto"/>
        <w:outlineLvl w:val="1"/>
        <w:rPr>
          <w:rFonts w:eastAsia="Times New Roman" w:cstheme="minorHAnsi"/>
          <w:color w:val="2D3B45"/>
          <w:sz w:val="43"/>
          <w:szCs w:val="43"/>
        </w:rPr>
      </w:pPr>
      <w:r w:rsidRPr="00CF19A7">
        <w:rPr>
          <w:rFonts w:eastAsia="Times New Roman" w:cstheme="minorHAnsi"/>
          <w:b/>
          <w:bCs/>
          <w:color w:val="2D3B45"/>
          <w:sz w:val="43"/>
          <w:szCs w:val="43"/>
        </w:rPr>
        <w:t>Course Description</w:t>
      </w:r>
    </w:p>
    <w:p w14:paraId="48FBAA89" w14:textId="77777777" w:rsidR="007520B0" w:rsidRPr="00CF19A7" w:rsidRDefault="007520B0" w:rsidP="007520B0">
      <w:pPr>
        <w:shd w:val="clear" w:color="auto" w:fill="FFFFFF"/>
        <w:spacing w:before="90" w:after="90" w:line="240" w:lineRule="auto"/>
        <w:outlineLvl w:val="1"/>
        <w:rPr>
          <w:rFonts w:cstheme="minorHAnsi"/>
        </w:rPr>
      </w:pPr>
      <w:r w:rsidRPr="00CF19A7">
        <w:rPr>
          <w:rFonts w:cstheme="minorHAnsi"/>
          <w:color w:val="2D3B45"/>
          <w:shd w:val="clear" w:color="auto" w:fill="FFFFFF"/>
        </w:rPr>
        <w:t>The basics of federal income tax compliance from information gathering to filing of the return. Includes practice preparing various individual forms and schedules. Also covers software tools, engagement letters, rules of conduct, disclosures, recordkeeping, and key California adjustments. Final project will be manual completion of a moderately complex Form 1040 (due by 1/25/21).</w:t>
      </w:r>
    </w:p>
    <w:p w14:paraId="79CA2B79" w14:textId="77777777" w:rsidR="001752D1" w:rsidRPr="00CF19A7" w:rsidRDefault="001752D1">
      <w:pPr>
        <w:spacing w:line="259" w:lineRule="auto"/>
        <w:rPr>
          <w:rFonts w:eastAsia="Times New Roman" w:cstheme="minorHAnsi"/>
          <w:b/>
          <w:bCs/>
          <w:color w:val="2D3B45"/>
          <w:sz w:val="43"/>
          <w:szCs w:val="43"/>
        </w:rPr>
      </w:pPr>
      <w:r w:rsidRPr="00CF19A7">
        <w:rPr>
          <w:rFonts w:eastAsia="Times New Roman" w:cstheme="minorHAnsi"/>
          <w:b/>
          <w:bCs/>
          <w:color w:val="2D3B45"/>
          <w:sz w:val="43"/>
          <w:szCs w:val="43"/>
        </w:rPr>
        <w:br w:type="page"/>
      </w:r>
    </w:p>
    <w:p w14:paraId="5BF2BBC3" w14:textId="77777777" w:rsidR="007520B0" w:rsidRPr="00CF19A7" w:rsidRDefault="007520B0" w:rsidP="007520B0">
      <w:pPr>
        <w:shd w:val="clear" w:color="auto" w:fill="FFFFFF"/>
        <w:spacing w:before="90" w:after="90" w:line="240" w:lineRule="auto"/>
        <w:outlineLvl w:val="1"/>
        <w:rPr>
          <w:rFonts w:eastAsia="Times New Roman" w:cstheme="minorHAnsi"/>
          <w:color w:val="2D3B45"/>
          <w:sz w:val="43"/>
          <w:szCs w:val="43"/>
        </w:rPr>
      </w:pPr>
      <w:r w:rsidRPr="00CF19A7">
        <w:rPr>
          <w:rFonts w:eastAsia="Times New Roman" w:cstheme="minorHAnsi"/>
          <w:b/>
          <w:bCs/>
          <w:color w:val="2D3B45"/>
          <w:sz w:val="43"/>
          <w:szCs w:val="43"/>
        </w:rPr>
        <w:lastRenderedPageBreak/>
        <w:t>Course Goals and Student Learning Objectives</w:t>
      </w:r>
    </w:p>
    <w:p w14:paraId="0A1A1CF5"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p>
    <w:p w14:paraId="26D592CF"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Upon successful completion of this course, students will be able:</w:t>
      </w:r>
    </w:p>
    <w:p w14:paraId="6A6DE4B1" w14:textId="77777777" w:rsidR="007520B0" w:rsidRPr="00CF19A7" w:rsidRDefault="007520B0" w:rsidP="007520B0">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To understand the process of individual tax compliance from initial client contact to filing of returns. Discover how to ask the right questions during the information gathering process.</w:t>
      </w:r>
    </w:p>
    <w:p w14:paraId="14EB3DCF" w14:textId="77777777" w:rsidR="007520B0" w:rsidRPr="00CF19A7" w:rsidRDefault="007520B0" w:rsidP="007520B0">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To understand the key rules for computing federal taxable income and net tax liability including investment income, business income, passive activity income, retirement plans, itemized deductions, special tax credits, alternative minimum tax and estimated tax payments.</w:t>
      </w:r>
    </w:p>
    <w:p w14:paraId="1FAEEA12" w14:textId="77777777" w:rsidR="007520B0" w:rsidRPr="00CF19A7" w:rsidRDefault="007520B0" w:rsidP="007520B0">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To gain awareness of actions to help ensure proper compliance that reduces penalty and malpractice exposure. Understand the tools and requirements that help support ethical tax compliance.</w:t>
      </w:r>
    </w:p>
    <w:p w14:paraId="14566D0A" w14:textId="77777777" w:rsidR="007520B0" w:rsidRPr="00CF19A7" w:rsidRDefault="007520B0" w:rsidP="007520B0">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To understand necessary features for tax compliance software tools.</w:t>
      </w:r>
    </w:p>
    <w:p w14:paraId="52A1CA76" w14:textId="77777777" w:rsidR="001752D1" w:rsidRPr="00CF19A7" w:rsidRDefault="001752D1" w:rsidP="007520B0">
      <w:pPr>
        <w:numPr>
          <w:ilvl w:val="0"/>
          <w:numId w:val="1"/>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To understand key federal and California tax differences for individuals</w:t>
      </w:r>
    </w:p>
    <w:p w14:paraId="23E0E2B1" w14:textId="77777777" w:rsidR="007520B0" w:rsidRPr="00CF19A7" w:rsidRDefault="007520B0" w:rsidP="007520B0">
      <w:pPr>
        <w:shd w:val="clear" w:color="auto" w:fill="FFFFFF"/>
        <w:spacing w:before="90" w:after="90" w:line="240" w:lineRule="auto"/>
        <w:outlineLvl w:val="1"/>
        <w:rPr>
          <w:rFonts w:eastAsia="Times New Roman" w:cstheme="minorHAnsi"/>
          <w:color w:val="2D3B45"/>
          <w:sz w:val="43"/>
          <w:szCs w:val="43"/>
        </w:rPr>
      </w:pPr>
      <w:r w:rsidRPr="00CF19A7">
        <w:rPr>
          <w:rFonts w:eastAsia="Times New Roman" w:cstheme="minorHAnsi"/>
          <w:b/>
          <w:bCs/>
          <w:color w:val="2D3B45"/>
          <w:sz w:val="43"/>
          <w:szCs w:val="43"/>
        </w:rPr>
        <w:t>Required Texts/Readings</w:t>
      </w:r>
    </w:p>
    <w:p w14:paraId="05656144" w14:textId="77777777" w:rsidR="007520B0" w:rsidRPr="00CF19A7" w:rsidRDefault="007520B0" w:rsidP="007520B0">
      <w:pPr>
        <w:shd w:val="clear" w:color="auto" w:fill="FFFFFF"/>
        <w:spacing w:before="90" w:after="90" w:line="240" w:lineRule="auto"/>
        <w:outlineLvl w:val="2"/>
        <w:rPr>
          <w:rFonts w:eastAsia="Times New Roman" w:cstheme="minorHAnsi"/>
          <w:color w:val="2D3B45"/>
          <w:sz w:val="36"/>
          <w:szCs w:val="36"/>
        </w:rPr>
      </w:pPr>
      <w:r w:rsidRPr="00CF19A7">
        <w:rPr>
          <w:rFonts w:eastAsia="Times New Roman" w:cstheme="minorHAnsi"/>
          <w:b/>
          <w:bCs/>
          <w:color w:val="2D3B45"/>
          <w:sz w:val="36"/>
          <w:szCs w:val="36"/>
        </w:rPr>
        <w:t>Textbooks</w:t>
      </w:r>
    </w:p>
    <w:p w14:paraId="1D5133B0" w14:textId="77777777" w:rsidR="007520B0" w:rsidRPr="00CF19A7" w:rsidRDefault="007520B0" w:rsidP="007520B0">
      <w:pPr>
        <w:pStyle w:val="Heading3"/>
        <w:shd w:val="clear" w:color="auto" w:fill="FFFFFF"/>
        <w:spacing w:before="90" w:beforeAutospacing="0" w:after="90" w:afterAutospacing="0"/>
        <w:rPr>
          <w:rFonts w:asciiTheme="minorHAnsi" w:hAnsiTheme="minorHAnsi" w:cstheme="minorHAnsi"/>
          <w:b w:val="0"/>
          <w:bCs w:val="0"/>
          <w:color w:val="2D3B45"/>
          <w:sz w:val="36"/>
          <w:szCs w:val="36"/>
        </w:rPr>
      </w:pPr>
      <w:r w:rsidRPr="00CF19A7">
        <w:rPr>
          <w:rFonts w:asciiTheme="minorHAnsi" w:hAnsiTheme="minorHAnsi" w:cstheme="minorHAnsi"/>
          <w:b w:val="0"/>
          <w:bCs w:val="0"/>
          <w:color w:val="2D3B45"/>
          <w:sz w:val="36"/>
          <w:szCs w:val="36"/>
        </w:rPr>
        <w:t>Textbook</w:t>
      </w:r>
    </w:p>
    <w:p w14:paraId="4F38B370" w14:textId="77777777" w:rsidR="007520B0" w:rsidRPr="00CF19A7" w:rsidRDefault="007520B0" w:rsidP="007520B0">
      <w:pPr>
        <w:pStyle w:val="NormalWeb"/>
        <w:shd w:val="clear" w:color="auto" w:fill="FFFFFF"/>
        <w:spacing w:before="180" w:beforeAutospacing="0" w:after="180" w:afterAutospacing="0"/>
        <w:rPr>
          <w:rFonts w:asciiTheme="minorHAnsi" w:hAnsiTheme="minorHAnsi" w:cstheme="minorHAnsi"/>
          <w:color w:val="2D3B45"/>
        </w:rPr>
      </w:pPr>
      <w:r w:rsidRPr="00CF19A7">
        <w:rPr>
          <w:rFonts w:asciiTheme="minorHAnsi" w:hAnsiTheme="minorHAnsi" w:cstheme="minorHAnsi"/>
          <w:color w:val="2D3B45"/>
        </w:rPr>
        <w:t>A list of course readings will be posted on Canvas</w:t>
      </w:r>
    </w:p>
    <w:p w14:paraId="4D48BAFC" w14:textId="77777777" w:rsidR="007520B0" w:rsidRPr="00CF19A7" w:rsidRDefault="007520B0" w:rsidP="007520B0">
      <w:pPr>
        <w:shd w:val="clear" w:color="auto" w:fill="FFFFFF"/>
        <w:spacing w:before="90" w:after="90" w:line="240" w:lineRule="auto"/>
        <w:outlineLvl w:val="1"/>
        <w:rPr>
          <w:rFonts w:eastAsia="Times New Roman" w:cstheme="minorHAnsi"/>
          <w:color w:val="2D3B45"/>
          <w:sz w:val="43"/>
          <w:szCs w:val="43"/>
        </w:rPr>
      </w:pPr>
      <w:r w:rsidRPr="00CF19A7">
        <w:rPr>
          <w:rFonts w:eastAsia="Times New Roman" w:cstheme="minorHAnsi"/>
          <w:color w:val="2D3B45"/>
          <w:sz w:val="43"/>
          <w:szCs w:val="43"/>
        </w:rPr>
        <w:t>Course Requirements, Assignments, and Grading Information</w:t>
      </w:r>
    </w:p>
    <w:p w14:paraId="7A3A3394"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Grades will follow to pattern of 90% or higher for an A, 80% or higher for a B, 70% of higher for a C, etc. Plus and minus grades will be used for scores within two percentage points of the grade breakpoint.</w:t>
      </w:r>
    </w:p>
    <w:p w14:paraId="25D9B365" w14:textId="77777777" w:rsidR="007520B0" w:rsidRPr="00CF19A7" w:rsidRDefault="007520B0" w:rsidP="007520B0">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 xml:space="preserve">Group work in class – </w:t>
      </w:r>
      <w:r w:rsidR="00365CBE" w:rsidRPr="00CF19A7">
        <w:rPr>
          <w:rFonts w:eastAsia="Times New Roman" w:cstheme="minorHAnsi"/>
          <w:color w:val="2D3B45"/>
          <w:sz w:val="24"/>
          <w:szCs w:val="24"/>
        </w:rPr>
        <w:t>1</w:t>
      </w:r>
      <w:r w:rsidRPr="00CF19A7">
        <w:rPr>
          <w:rFonts w:eastAsia="Times New Roman" w:cstheme="minorHAnsi"/>
          <w:color w:val="2D3B45"/>
          <w:sz w:val="24"/>
          <w:szCs w:val="24"/>
        </w:rPr>
        <w:t>0 points</w:t>
      </w:r>
    </w:p>
    <w:p w14:paraId="2BC402A2" w14:textId="77777777" w:rsidR="007520B0" w:rsidRPr="00CF19A7" w:rsidRDefault="007520B0" w:rsidP="007520B0">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 xml:space="preserve">Research questions – </w:t>
      </w:r>
      <w:r w:rsidR="00365CBE" w:rsidRPr="00CF19A7">
        <w:rPr>
          <w:rFonts w:eastAsia="Times New Roman" w:cstheme="minorHAnsi"/>
          <w:color w:val="2D3B45"/>
          <w:sz w:val="24"/>
          <w:szCs w:val="24"/>
        </w:rPr>
        <w:t>4</w:t>
      </w:r>
      <w:r w:rsidRPr="00CF19A7">
        <w:rPr>
          <w:rFonts w:eastAsia="Times New Roman" w:cstheme="minorHAnsi"/>
          <w:color w:val="2D3B45"/>
          <w:sz w:val="24"/>
          <w:szCs w:val="24"/>
        </w:rPr>
        <w:t>0 points (due 1/1</w:t>
      </w:r>
      <w:r w:rsidR="005F7BC1" w:rsidRPr="00CF19A7">
        <w:rPr>
          <w:rFonts w:eastAsia="Times New Roman" w:cstheme="minorHAnsi"/>
          <w:color w:val="2D3B45"/>
          <w:sz w:val="24"/>
          <w:szCs w:val="24"/>
        </w:rPr>
        <w:t>5</w:t>
      </w:r>
      <w:r w:rsidRPr="00CF19A7">
        <w:rPr>
          <w:rFonts w:eastAsia="Times New Roman" w:cstheme="minorHAnsi"/>
          <w:color w:val="2D3B45"/>
          <w:sz w:val="24"/>
          <w:szCs w:val="24"/>
        </w:rPr>
        <w:t>/2</w:t>
      </w:r>
      <w:r w:rsidR="005F7BC1" w:rsidRPr="00CF19A7">
        <w:rPr>
          <w:rFonts w:eastAsia="Times New Roman" w:cstheme="minorHAnsi"/>
          <w:color w:val="2D3B45"/>
          <w:sz w:val="24"/>
          <w:szCs w:val="24"/>
        </w:rPr>
        <w:t>1</w:t>
      </w:r>
      <w:r w:rsidRPr="00CF19A7">
        <w:rPr>
          <w:rFonts w:eastAsia="Times New Roman" w:cstheme="minorHAnsi"/>
          <w:color w:val="2D3B45"/>
          <w:sz w:val="24"/>
          <w:szCs w:val="24"/>
        </w:rPr>
        <w:t>)</w:t>
      </w:r>
    </w:p>
    <w:p w14:paraId="19A5CBA2" w14:textId="77777777" w:rsidR="007520B0" w:rsidRPr="00CF19A7" w:rsidRDefault="007520B0" w:rsidP="007520B0">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 xml:space="preserve">Quiz </w:t>
      </w:r>
      <w:r w:rsidR="00365CBE" w:rsidRPr="00CF19A7">
        <w:rPr>
          <w:rFonts w:eastAsia="Times New Roman" w:cstheme="minorHAnsi"/>
          <w:color w:val="2D3B45"/>
          <w:sz w:val="24"/>
          <w:szCs w:val="24"/>
        </w:rPr>
        <w:t>1</w:t>
      </w:r>
      <w:r w:rsidRPr="00CF19A7">
        <w:rPr>
          <w:rFonts w:eastAsia="Times New Roman" w:cstheme="minorHAnsi"/>
          <w:color w:val="2D3B45"/>
          <w:sz w:val="24"/>
          <w:szCs w:val="24"/>
        </w:rPr>
        <w:t>0 points</w:t>
      </w:r>
    </w:p>
    <w:p w14:paraId="0881C3F9" w14:textId="77777777" w:rsidR="007520B0" w:rsidRPr="00CF19A7" w:rsidRDefault="007520B0" w:rsidP="007520B0">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 xml:space="preserve">Final project – </w:t>
      </w:r>
      <w:r w:rsidR="00365CBE" w:rsidRPr="00CF19A7">
        <w:rPr>
          <w:rFonts w:eastAsia="Times New Roman" w:cstheme="minorHAnsi"/>
          <w:color w:val="2D3B45"/>
          <w:sz w:val="24"/>
          <w:szCs w:val="24"/>
        </w:rPr>
        <w:t>4</w:t>
      </w:r>
      <w:r w:rsidRPr="00CF19A7">
        <w:rPr>
          <w:rFonts w:eastAsia="Times New Roman" w:cstheme="minorHAnsi"/>
          <w:color w:val="2D3B45"/>
          <w:sz w:val="24"/>
          <w:szCs w:val="24"/>
        </w:rPr>
        <w:t>0 points (due 1/2</w:t>
      </w:r>
      <w:r w:rsidR="001752D1" w:rsidRPr="00CF19A7">
        <w:rPr>
          <w:rFonts w:eastAsia="Times New Roman" w:cstheme="minorHAnsi"/>
          <w:color w:val="2D3B45"/>
          <w:sz w:val="24"/>
          <w:szCs w:val="24"/>
        </w:rPr>
        <w:t>5</w:t>
      </w:r>
      <w:r w:rsidRPr="00CF19A7">
        <w:rPr>
          <w:rFonts w:eastAsia="Times New Roman" w:cstheme="minorHAnsi"/>
          <w:color w:val="2D3B45"/>
          <w:sz w:val="24"/>
          <w:szCs w:val="24"/>
        </w:rPr>
        <w:t>/2</w:t>
      </w:r>
      <w:r w:rsidR="005F7BC1" w:rsidRPr="00CF19A7">
        <w:rPr>
          <w:rFonts w:eastAsia="Times New Roman" w:cstheme="minorHAnsi"/>
          <w:color w:val="2D3B45"/>
          <w:sz w:val="24"/>
          <w:szCs w:val="24"/>
        </w:rPr>
        <w:t>1</w:t>
      </w:r>
      <w:r w:rsidRPr="00CF19A7">
        <w:rPr>
          <w:rFonts w:eastAsia="Times New Roman" w:cstheme="minorHAnsi"/>
          <w:color w:val="2D3B45"/>
          <w:sz w:val="24"/>
          <w:szCs w:val="24"/>
        </w:rPr>
        <w:t>)</w:t>
      </w:r>
    </w:p>
    <w:p w14:paraId="7547CAD2" w14:textId="77777777" w:rsidR="007520B0" w:rsidRPr="00CF19A7" w:rsidRDefault="007520B0" w:rsidP="007520B0">
      <w:pPr>
        <w:numPr>
          <w:ilvl w:val="0"/>
          <w:numId w:val="2"/>
        </w:numPr>
        <w:shd w:val="clear" w:color="auto" w:fill="FFFFFF"/>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 xml:space="preserve">Total </w:t>
      </w:r>
      <w:r w:rsidR="00365CBE" w:rsidRPr="00CF19A7">
        <w:rPr>
          <w:rFonts w:eastAsia="Times New Roman" w:cstheme="minorHAnsi"/>
          <w:color w:val="2D3B45"/>
          <w:sz w:val="24"/>
          <w:szCs w:val="24"/>
        </w:rPr>
        <w:t>1</w:t>
      </w:r>
      <w:r w:rsidRPr="00CF19A7">
        <w:rPr>
          <w:rFonts w:eastAsia="Times New Roman" w:cstheme="minorHAnsi"/>
          <w:color w:val="2D3B45"/>
          <w:sz w:val="24"/>
          <w:szCs w:val="24"/>
        </w:rPr>
        <w:t>00 points</w:t>
      </w:r>
    </w:p>
    <w:p w14:paraId="3F7A1E45" w14:textId="77777777" w:rsidR="00CF19A7" w:rsidRPr="00CF19A7" w:rsidRDefault="00CF19A7" w:rsidP="00CF19A7">
      <w:pPr>
        <w:pStyle w:val="ListParagraph"/>
        <w:numPr>
          <w:ilvl w:val="0"/>
          <w:numId w:val="2"/>
        </w:numPr>
        <w:rPr>
          <w:rFonts w:asciiTheme="minorHAnsi" w:hAnsiTheme="minorHAnsi" w:cstheme="minorHAnsi"/>
          <w:sz w:val="24"/>
          <w:szCs w:val="24"/>
        </w:rPr>
      </w:pPr>
      <w:r w:rsidRPr="00CF19A7">
        <w:rPr>
          <w:rFonts w:asciiTheme="minorHAnsi" w:hAnsiTheme="minorHAnsi" w:cstheme="minorHAnsi"/>
          <w:b/>
          <w:sz w:val="24"/>
          <w:szCs w:val="24"/>
        </w:rPr>
        <w:t xml:space="preserve">Determination of Grades: </w:t>
      </w:r>
      <w:r w:rsidRPr="00CF19A7">
        <w:rPr>
          <w:rFonts w:asciiTheme="minorHAnsi" w:hAnsiTheme="minorHAnsi" w:cstheme="minorHAnsi"/>
          <w:sz w:val="24"/>
          <w:szCs w:val="24"/>
        </w:rPr>
        <w:t>There are no extra-credit opportunities available for this course. Course grades are determined using the following table:</w:t>
      </w:r>
    </w:p>
    <w:p w14:paraId="4AE81089" w14:textId="77777777" w:rsidR="00CF19A7" w:rsidRPr="00CF19A7" w:rsidRDefault="00CF19A7" w:rsidP="00CF19A7">
      <w:pPr>
        <w:rPr>
          <w:rFonts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20"/>
      </w:tblGrid>
      <w:tr w:rsidR="00CF19A7" w:rsidRPr="00CF19A7" w14:paraId="477C4CE5" w14:textId="77777777" w:rsidTr="00723FAF">
        <w:trPr>
          <w:tblHeader/>
        </w:trPr>
        <w:tc>
          <w:tcPr>
            <w:tcW w:w="1615" w:type="dxa"/>
            <w:shd w:val="clear" w:color="auto" w:fill="7F7F7F"/>
          </w:tcPr>
          <w:p w14:paraId="43CF3EF2" w14:textId="77777777" w:rsidR="00CF19A7" w:rsidRPr="00CF19A7" w:rsidRDefault="00CF19A7" w:rsidP="00723FAF">
            <w:pPr>
              <w:rPr>
                <w:rFonts w:eastAsia="Calibri" w:cstheme="minorHAnsi"/>
                <w:i/>
              </w:rPr>
            </w:pPr>
            <w:r w:rsidRPr="00CF19A7">
              <w:rPr>
                <w:rFonts w:eastAsia="Calibri" w:cstheme="minorHAnsi"/>
                <w:i/>
              </w:rPr>
              <w:lastRenderedPageBreak/>
              <w:t xml:space="preserve">Grade </w:t>
            </w:r>
          </w:p>
        </w:tc>
        <w:tc>
          <w:tcPr>
            <w:tcW w:w="1620" w:type="dxa"/>
            <w:shd w:val="clear" w:color="auto" w:fill="7F7F7F"/>
          </w:tcPr>
          <w:p w14:paraId="00AEA854" w14:textId="77777777" w:rsidR="00CF19A7" w:rsidRPr="00CF19A7" w:rsidRDefault="00CF19A7" w:rsidP="00723FAF">
            <w:pPr>
              <w:rPr>
                <w:rFonts w:eastAsia="Calibri" w:cstheme="minorHAnsi"/>
                <w:i/>
              </w:rPr>
            </w:pPr>
            <w:r w:rsidRPr="00CF19A7">
              <w:rPr>
                <w:rFonts w:eastAsia="Calibri" w:cstheme="minorHAnsi"/>
                <w:i/>
              </w:rPr>
              <w:t>Percentage</w:t>
            </w:r>
          </w:p>
        </w:tc>
      </w:tr>
      <w:tr w:rsidR="00CF19A7" w:rsidRPr="00CF19A7" w14:paraId="7975C3FC" w14:textId="77777777" w:rsidTr="00723FAF">
        <w:tc>
          <w:tcPr>
            <w:tcW w:w="1615" w:type="dxa"/>
            <w:shd w:val="clear" w:color="auto" w:fill="auto"/>
          </w:tcPr>
          <w:p w14:paraId="069ED7BF" w14:textId="77777777" w:rsidR="00CF19A7" w:rsidRPr="00CF19A7" w:rsidRDefault="00CF19A7" w:rsidP="00723FAF">
            <w:pPr>
              <w:rPr>
                <w:rFonts w:eastAsia="Calibri" w:cstheme="minorHAnsi"/>
                <w:i/>
              </w:rPr>
            </w:pPr>
            <w:r w:rsidRPr="00CF19A7">
              <w:rPr>
                <w:rFonts w:eastAsia="Calibri" w:cstheme="minorHAnsi"/>
                <w:i/>
              </w:rPr>
              <w:t>A plus</w:t>
            </w:r>
          </w:p>
        </w:tc>
        <w:tc>
          <w:tcPr>
            <w:tcW w:w="1620" w:type="dxa"/>
            <w:shd w:val="clear" w:color="auto" w:fill="auto"/>
          </w:tcPr>
          <w:p w14:paraId="16C75E35" w14:textId="77777777" w:rsidR="00CF19A7" w:rsidRPr="00CF19A7" w:rsidRDefault="00CF19A7" w:rsidP="00723FAF">
            <w:pPr>
              <w:rPr>
                <w:rFonts w:eastAsia="Calibri" w:cstheme="minorHAnsi"/>
                <w:i/>
              </w:rPr>
            </w:pPr>
            <w:r w:rsidRPr="00CF19A7">
              <w:rPr>
                <w:rFonts w:eastAsia="Calibri" w:cstheme="minorHAnsi"/>
                <w:i/>
              </w:rPr>
              <w:t>98 to 100%</w:t>
            </w:r>
          </w:p>
        </w:tc>
      </w:tr>
      <w:tr w:rsidR="00CF19A7" w:rsidRPr="00CF19A7" w14:paraId="6F291700" w14:textId="77777777" w:rsidTr="00723FAF">
        <w:tc>
          <w:tcPr>
            <w:tcW w:w="1615" w:type="dxa"/>
            <w:shd w:val="clear" w:color="auto" w:fill="auto"/>
          </w:tcPr>
          <w:p w14:paraId="35EC853F" w14:textId="77777777" w:rsidR="00CF19A7" w:rsidRPr="00CF19A7" w:rsidRDefault="00CF19A7" w:rsidP="00723FAF">
            <w:pPr>
              <w:rPr>
                <w:rFonts w:eastAsia="Calibri" w:cstheme="minorHAnsi"/>
                <w:i/>
              </w:rPr>
            </w:pPr>
            <w:r w:rsidRPr="00CF19A7">
              <w:rPr>
                <w:rFonts w:eastAsia="Calibri" w:cstheme="minorHAnsi"/>
                <w:i/>
              </w:rPr>
              <w:t>A</w:t>
            </w:r>
          </w:p>
        </w:tc>
        <w:tc>
          <w:tcPr>
            <w:tcW w:w="1620" w:type="dxa"/>
            <w:shd w:val="clear" w:color="auto" w:fill="auto"/>
          </w:tcPr>
          <w:p w14:paraId="4DC08E8A" w14:textId="77777777" w:rsidR="00CF19A7" w:rsidRPr="00CF19A7" w:rsidRDefault="00CF19A7" w:rsidP="00723FAF">
            <w:pPr>
              <w:rPr>
                <w:rFonts w:eastAsia="Calibri" w:cstheme="minorHAnsi"/>
                <w:i/>
              </w:rPr>
            </w:pPr>
            <w:r w:rsidRPr="00CF19A7">
              <w:rPr>
                <w:rFonts w:eastAsia="Calibri" w:cstheme="minorHAnsi"/>
                <w:i/>
              </w:rPr>
              <w:t>92 to 97%</w:t>
            </w:r>
          </w:p>
        </w:tc>
      </w:tr>
      <w:tr w:rsidR="00CF19A7" w:rsidRPr="00CF19A7" w14:paraId="4EEA167A" w14:textId="77777777" w:rsidTr="00723FAF">
        <w:tc>
          <w:tcPr>
            <w:tcW w:w="1615" w:type="dxa"/>
            <w:shd w:val="clear" w:color="auto" w:fill="auto"/>
          </w:tcPr>
          <w:p w14:paraId="16645729" w14:textId="77777777" w:rsidR="00CF19A7" w:rsidRPr="00CF19A7" w:rsidRDefault="00CF19A7" w:rsidP="00723FAF">
            <w:pPr>
              <w:rPr>
                <w:rFonts w:eastAsia="Calibri" w:cstheme="minorHAnsi"/>
                <w:i/>
              </w:rPr>
            </w:pPr>
            <w:r w:rsidRPr="00CF19A7">
              <w:rPr>
                <w:rFonts w:eastAsia="Calibri" w:cstheme="minorHAnsi"/>
                <w:i/>
              </w:rPr>
              <w:t>A minus</w:t>
            </w:r>
          </w:p>
        </w:tc>
        <w:tc>
          <w:tcPr>
            <w:tcW w:w="1620" w:type="dxa"/>
            <w:shd w:val="clear" w:color="auto" w:fill="auto"/>
          </w:tcPr>
          <w:p w14:paraId="227072A0" w14:textId="77777777" w:rsidR="00CF19A7" w:rsidRPr="00CF19A7" w:rsidRDefault="00CF19A7" w:rsidP="00723FAF">
            <w:pPr>
              <w:rPr>
                <w:rFonts w:eastAsia="Calibri" w:cstheme="minorHAnsi"/>
                <w:i/>
              </w:rPr>
            </w:pPr>
            <w:r w:rsidRPr="00CF19A7">
              <w:rPr>
                <w:rFonts w:eastAsia="Calibri" w:cstheme="minorHAnsi"/>
                <w:i/>
              </w:rPr>
              <w:t>90 to 91%</w:t>
            </w:r>
          </w:p>
        </w:tc>
      </w:tr>
      <w:tr w:rsidR="00CF19A7" w:rsidRPr="00CF19A7" w14:paraId="3DA54E91" w14:textId="77777777" w:rsidTr="00723FAF">
        <w:tc>
          <w:tcPr>
            <w:tcW w:w="1615" w:type="dxa"/>
            <w:shd w:val="clear" w:color="auto" w:fill="auto"/>
          </w:tcPr>
          <w:p w14:paraId="056D2290" w14:textId="77777777" w:rsidR="00CF19A7" w:rsidRPr="00CF19A7" w:rsidRDefault="00CF19A7" w:rsidP="00723FAF">
            <w:pPr>
              <w:rPr>
                <w:rFonts w:eastAsia="Calibri" w:cstheme="minorHAnsi"/>
                <w:i/>
              </w:rPr>
            </w:pPr>
            <w:r w:rsidRPr="00CF19A7">
              <w:rPr>
                <w:rFonts w:eastAsia="Calibri" w:cstheme="minorHAnsi"/>
                <w:i/>
              </w:rPr>
              <w:t>B plus</w:t>
            </w:r>
          </w:p>
        </w:tc>
        <w:tc>
          <w:tcPr>
            <w:tcW w:w="1620" w:type="dxa"/>
            <w:shd w:val="clear" w:color="auto" w:fill="auto"/>
          </w:tcPr>
          <w:p w14:paraId="46D3926E" w14:textId="77777777" w:rsidR="00CF19A7" w:rsidRPr="00CF19A7" w:rsidRDefault="00CF19A7" w:rsidP="00723FAF">
            <w:pPr>
              <w:rPr>
                <w:rFonts w:eastAsia="Calibri" w:cstheme="minorHAnsi"/>
                <w:i/>
              </w:rPr>
            </w:pPr>
            <w:r w:rsidRPr="00CF19A7">
              <w:rPr>
                <w:rFonts w:eastAsia="Calibri" w:cstheme="minorHAnsi"/>
                <w:i/>
              </w:rPr>
              <w:t>88 to 89 %</w:t>
            </w:r>
          </w:p>
        </w:tc>
      </w:tr>
      <w:tr w:rsidR="00CF19A7" w:rsidRPr="00CF19A7" w14:paraId="58A733F7" w14:textId="77777777" w:rsidTr="00723FAF">
        <w:tc>
          <w:tcPr>
            <w:tcW w:w="1615" w:type="dxa"/>
            <w:shd w:val="clear" w:color="auto" w:fill="auto"/>
          </w:tcPr>
          <w:p w14:paraId="09C3EAE5" w14:textId="77777777" w:rsidR="00CF19A7" w:rsidRPr="00CF19A7" w:rsidRDefault="00CF19A7" w:rsidP="00723FAF">
            <w:pPr>
              <w:rPr>
                <w:rFonts w:eastAsia="Calibri" w:cstheme="minorHAnsi"/>
                <w:i/>
              </w:rPr>
            </w:pPr>
            <w:r w:rsidRPr="00CF19A7">
              <w:rPr>
                <w:rFonts w:eastAsia="Calibri" w:cstheme="minorHAnsi"/>
                <w:i/>
              </w:rPr>
              <w:t>B</w:t>
            </w:r>
          </w:p>
        </w:tc>
        <w:tc>
          <w:tcPr>
            <w:tcW w:w="1620" w:type="dxa"/>
            <w:shd w:val="clear" w:color="auto" w:fill="auto"/>
          </w:tcPr>
          <w:p w14:paraId="3C16FAFB" w14:textId="77777777" w:rsidR="00CF19A7" w:rsidRPr="00CF19A7" w:rsidRDefault="00CF19A7" w:rsidP="00723FAF">
            <w:pPr>
              <w:rPr>
                <w:rFonts w:eastAsia="Calibri" w:cstheme="minorHAnsi"/>
                <w:i/>
              </w:rPr>
            </w:pPr>
            <w:r w:rsidRPr="00CF19A7">
              <w:rPr>
                <w:rFonts w:eastAsia="Calibri" w:cstheme="minorHAnsi"/>
                <w:i/>
              </w:rPr>
              <w:t>82 to 87%</w:t>
            </w:r>
          </w:p>
        </w:tc>
      </w:tr>
      <w:tr w:rsidR="00CF19A7" w:rsidRPr="00CF19A7" w14:paraId="1BAC4FBE" w14:textId="77777777" w:rsidTr="00723FAF">
        <w:tc>
          <w:tcPr>
            <w:tcW w:w="1615" w:type="dxa"/>
            <w:shd w:val="clear" w:color="auto" w:fill="auto"/>
          </w:tcPr>
          <w:p w14:paraId="21818132" w14:textId="77777777" w:rsidR="00CF19A7" w:rsidRPr="00CF19A7" w:rsidRDefault="00CF19A7" w:rsidP="00723FAF">
            <w:pPr>
              <w:rPr>
                <w:rFonts w:eastAsia="Calibri" w:cstheme="minorHAnsi"/>
                <w:i/>
              </w:rPr>
            </w:pPr>
            <w:r w:rsidRPr="00CF19A7">
              <w:rPr>
                <w:rFonts w:eastAsia="Calibri" w:cstheme="minorHAnsi"/>
                <w:i/>
              </w:rPr>
              <w:t>B minus</w:t>
            </w:r>
          </w:p>
        </w:tc>
        <w:tc>
          <w:tcPr>
            <w:tcW w:w="1620" w:type="dxa"/>
            <w:shd w:val="clear" w:color="auto" w:fill="auto"/>
          </w:tcPr>
          <w:p w14:paraId="00461550" w14:textId="77777777" w:rsidR="00CF19A7" w:rsidRPr="00CF19A7" w:rsidRDefault="00CF19A7" w:rsidP="00723FAF">
            <w:pPr>
              <w:rPr>
                <w:rFonts w:eastAsia="Calibri" w:cstheme="minorHAnsi"/>
                <w:i/>
              </w:rPr>
            </w:pPr>
            <w:r w:rsidRPr="00CF19A7">
              <w:rPr>
                <w:rFonts w:eastAsia="Calibri" w:cstheme="minorHAnsi"/>
                <w:i/>
              </w:rPr>
              <w:t>80 to 81%</w:t>
            </w:r>
          </w:p>
        </w:tc>
      </w:tr>
      <w:tr w:rsidR="00CF19A7" w:rsidRPr="00CF19A7" w14:paraId="5FFD0599" w14:textId="77777777" w:rsidTr="00723FAF">
        <w:tc>
          <w:tcPr>
            <w:tcW w:w="1615" w:type="dxa"/>
            <w:shd w:val="clear" w:color="auto" w:fill="auto"/>
          </w:tcPr>
          <w:p w14:paraId="3C7BEFE9" w14:textId="77777777" w:rsidR="00CF19A7" w:rsidRPr="00CF19A7" w:rsidRDefault="00CF19A7" w:rsidP="00723FAF">
            <w:pPr>
              <w:rPr>
                <w:rFonts w:eastAsia="Calibri" w:cstheme="minorHAnsi"/>
                <w:i/>
              </w:rPr>
            </w:pPr>
            <w:r w:rsidRPr="00CF19A7">
              <w:rPr>
                <w:rFonts w:eastAsia="Calibri" w:cstheme="minorHAnsi"/>
                <w:i/>
              </w:rPr>
              <w:t>C plus</w:t>
            </w:r>
          </w:p>
        </w:tc>
        <w:tc>
          <w:tcPr>
            <w:tcW w:w="1620" w:type="dxa"/>
            <w:shd w:val="clear" w:color="auto" w:fill="auto"/>
          </w:tcPr>
          <w:p w14:paraId="79AF953C" w14:textId="77777777" w:rsidR="00CF19A7" w:rsidRPr="00CF19A7" w:rsidRDefault="00CF19A7" w:rsidP="00723FAF">
            <w:pPr>
              <w:rPr>
                <w:rFonts w:eastAsia="Calibri" w:cstheme="minorHAnsi"/>
                <w:i/>
              </w:rPr>
            </w:pPr>
            <w:r w:rsidRPr="00CF19A7">
              <w:rPr>
                <w:rFonts w:eastAsia="Calibri" w:cstheme="minorHAnsi"/>
                <w:i/>
              </w:rPr>
              <w:t>78 to 79%</w:t>
            </w:r>
          </w:p>
        </w:tc>
      </w:tr>
      <w:tr w:rsidR="00CF19A7" w:rsidRPr="00CF19A7" w14:paraId="2548A1DD" w14:textId="77777777" w:rsidTr="00723FAF">
        <w:tc>
          <w:tcPr>
            <w:tcW w:w="1615" w:type="dxa"/>
            <w:shd w:val="clear" w:color="auto" w:fill="auto"/>
          </w:tcPr>
          <w:p w14:paraId="08CCA084" w14:textId="77777777" w:rsidR="00CF19A7" w:rsidRPr="00CF19A7" w:rsidRDefault="00CF19A7" w:rsidP="00723FAF">
            <w:pPr>
              <w:rPr>
                <w:rFonts w:eastAsia="Calibri" w:cstheme="minorHAnsi"/>
                <w:i/>
              </w:rPr>
            </w:pPr>
            <w:r w:rsidRPr="00CF19A7">
              <w:rPr>
                <w:rFonts w:eastAsia="Calibri" w:cstheme="minorHAnsi"/>
                <w:i/>
              </w:rPr>
              <w:t>C</w:t>
            </w:r>
          </w:p>
        </w:tc>
        <w:tc>
          <w:tcPr>
            <w:tcW w:w="1620" w:type="dxa"/>
            <w:shd w:val="clear" w:color="auto" w:fill="auto"/>
          </w:tcPr>
          <w:p w14:paraId="2D36AAF1" w14:textId="77777777" w:rsidR="00CF19A7" w:rsidRPr="00CF19A7" w:rsidRDefault="00CF19A7" w:rsidP="00723FAF">
            <w:pPr>
              <w:rPr>
                <w:rFonts w:eastAsia="Calibri" w:cstheme="minorHAnsi"/>
                <w:i/>
              </w:rPr>
            </w:pPr>
            <w:r w:rsidRPr="00CF19A7">
              <w:rPr>
                <w:rFonts w:eastAsia="Calibri" w:cstheme="minorHAnsi"/>
                <w:i/>
              </w:rPr>
              <w:t>72 to 77%</w:t>
            </w:r>
          </w:p>
        </w:tc>
      </w:tr>
      <w:tr w:rsidR="00CF19A7" w:rsidRPr="00CF19A7" w14:paraId="53409AF5" w14:textId="77777777" w:rsidTr="00723FAF">
        <w:tc>
          <w:tcPr>
            <w:tcW w:w="1615" w:type="dxa"/>
            <w:shd w:val="clear" w:color="auto" w:fill="auto"/>
          </w:tcPr>
          <w:p w14:paraId="6E766B9B" w14:textId="77777777" w:rsidR="00CF19A7" w:rsidRPr="00CF19A7" w:rsidRDefault="00CF19A7" w:rsidP="00723FAF">
            <w:pPr>
              <w:rPr>
                <w:rFonts w:eastAsia="Calibri" w:cstheme="minorHAnsi"/>
                <w:i/>
              </w:rPr>
            </w:pPr>
            <w:r w:rsidRPr="00CF19A7">
              <w:rPr>
                <w:rFonts w:eastAsia="Calibri" w:cstheme="minorHAnsi"/>
                <w:i/>
              </w:rPr>
              <w:t>C minus</w:t>
            </w:r>
          </w:p>
        </w:tc>
        <w:tc>
          <w:tcPr>
            <w:tcW w:w="1620" w:type="dxa"/>
            <w:shd w:val="clear" w:color="auto" w:fill="auto"/>
          </w:tcPr>
          <w:p w14:paraId="500B0EB8" w14:textId="77777777" w:rsidR="00CF19A7" w:rsidRPr="00CF19A7" w:rsidRDefault="00CF19A7" w:rsidP="00723FAF">
            <w:pPr>
              <w:rPr>
                <w:rFonts w:eastAsia="Calibri" w:cstheme="minorHAnsi"/>
                <w:i/>
              </w:rPr>
            </w:pPr>
            <w:r w:rsidRPr="00CF19A7">
              <w:rPr>
                <w:rFonts w:eastAsia="Calibri" w:cstheme="minorHAnsi"/>
                <w:i/>
              </w:rPr>
              <w:t>70 to 71%</w:t>
            </w:r>
          </w:p>
        </w:tc>
      </w:tr>
      <w:tr w:rsidR="00CF19A7" w:rsidRPr="00CF19A7" w14:paraId="735B02C9" w14:textId="77777777" w:rsidTr="00723FAF">
        <w:tc>
          <w:tcPr>
            <w:tcW w:w="1615" w:type="dxa"/>
            <w:shd w:val="clear" w:color="auto" w:fill="auto"/>
          </w:tcPr>
          <w:p w14:paraId="70859B58" w14:textId="77777777" w:rsidR="00CF19A7" w:rsidRPr="00CF19A7" w:rsidRDefault="00CF19A7" w:rsidP="00723FAF">
            <w:pPr>
              <w:rPr>
                <w:rFonts w:eastAsia="Calibri" w:cstheme="minorHAnsi"/>
                <w:i/>
              </w:rPr>
            </w:pPr>
            <w:r w:rsidRPr="00CF19A7">
              <w:rPr>
                <w:rFonts w:eastAsia="Calibri" w:cstheme="minorHAnsi"/>
                <w:i/>
              </w:rPr>
              <w:t>D plus</w:t>
            </w:r>
          </w:p>
        </w:tc>
        <w:tc>
          <w:tcPr>
            <w:tcW w:w="1620" w:type="dxa"/>
            <w:shd w:val="clear" w:color="auto" w:fill="auto"/>
          </w:tcPr>
          <w:p w14:paraId="50A55FDA" w14:textId="77777777" w:rsidR="00CF19A7" w:rsidRPr="00CF19A7" w:rsidRDefault="00CF19A7" w:rsidP="00723FAF">
            <w:pPr>
              <w:rPr>
                <w:rFonts w:eastAsia="Calibri" w:cstheme="minorHAnsi"/>
                <w:i/>
              </w:rPr>
            </w:pPr>
            <w:r w:rsidRPr="00CF19A7">
              <w:rPr>
                <w:rFonts w:eastAsia="Calibri" w:cstheme="minorHAnsi"/>
                <w:i/>
              </w:rPr>
              <w:t>68 to 69%</w:t>
            </w:r>
          </w:p>
        </w:tc>
      </w:tr>
      <w:tr w:rsidR="00CF19A7" w:rsidRPr="00CF19A7" w14:paraId="59C87D95" w14:textId="77777777" w:rsidTr="00723FAF">
        <w:tc>
          <w:tcPr>
            <w:tcW w:w="1615" w:type="dxa"/>
            <w:shd w:val="clear" w:color="auto" w:fill="auto"/>
          </w:tcPr>
          <w:p w14:paraId="0586DC00" w14:textId="77777777" w:rsidR="00CF19A7" w:rsidRPr="00CF19A7" w:rsidRDefault="00CF19A7" w:rsidP="00723FAF">
            <w:pPr>
              <w:rPr>
                <w:rFonts w:eastAsia="Calibri" w:cstheme="minorHAnsi"/>
                <w:i/>
              </w:rPr>
            </w:pPr>
            <w:r w:rsidRPr="00CF19A7">
              <w:rPr>
                <w:rFonts w:eastAsia="Calibri" w:cstheme="minorHAnsi"/>
                <w:i/>
              </w:rPr>
              <w:t>D</w:t>
            </w:r>
          </w:p>
        </w:tc>
        <w:tc>
          <w:tcPr>
            <w:tcW w:w="1620" w:type="dxa"/>
            <w:shd w:val="clear" w:color="auto" w:fill="auto"/>
          </w:tcPr>
          <w:p w14:paraId="21B28C99" w14:textId="77777777" w:rsidR="00CF19A7" w:rsidRPr="00CF19A7" w:rsidRDefault="00CF19A7" w:rsidP="00723FAF">
            <w:pPr>
              <w:rPr>
                <w:rFonts w:eastAsia="Calibri" w:cstheme="minorHAnsi"/>
                <w:i/>
              </w:rPr>
            </w:pPr>
            <w:r w:rsidRPr="00CF19A7">
              <w:rPr>
                <w:rFonts w:eastAsia="Calibri" w:cstheme="minorHAnsi"/>
                <w:i/>
              </w:rPr>
              <w:t>62 to 67%</w:t>
            </w:r>
          </w:p>
        </w:tc>
      </w:tr>
      <w:tr w:rsidR="00CF19A7" w:rsidRPr="00CF19A7" w14:paraId="173E9651" w14:textId="77777777" w:rsidTr="00723FAF">
        <w:tc>
          <w:tcPr>
            <w:tcW w:w="1615" w:type="dxa"/>
            <w:shd w:val="clear" w:color="auto" w:fill="auto"/>
          </w:tcPr>
          <w:p w14:paraId="7B869936" w14:textId="77777777" w:rsidR="00CF19A7" w:rsidRPr="00CF19A7" w:rsidRDefault="00CF19A7" w:rsidP="00723FAF">
            <w:pPr>
              <w:rPr>
                <w:rFonts w:eastAsia="Calibri" w:cstheme="minorHAnsi"/>
                <w:i/>
              </w:rPr>
            </w:pPr>
            <w:r w:rsidRPr="00CF19A7">
              <w:rPr>
                <w:rFonts w:eastAsia="Calibri" w:cstheme="minorHAnsi"/>
                <w:i/>
              </w:rPr>
              <w:t>D minus</w:t>
            </w:r>
          </w:p>
        </w:tc>
        <w:tc>
          <w:tcPr>
            <w:tcW w:w="1620" w:type="dxa"/>
            <w:shd w:val="clear" w:color="auto" w:fill="auto"/>
          </w:tcPr>
          <w:p w14:paraId="75B0B5E2" w14:textId="77777777" w:rsidR="00CF19A7" w:rsidRPr="00CF19A7" w:rsidRDefault="00CF19A7" w:rsidP="00723FAF">
            <w:pPr>
              <w:rPr>
                <w:rFonts w:eastAsia="Calibri" w:cstheme="minorHAnsi"/>
                <w:i/>
              </w:rPr>
            </w:pPr>
            <w:r w:rsidRPr="00CF19A7">
              <w:rPr>
                <w:rFonts w:eastAsia="Calibri" w:cstheme="minorHAnsi"/>
                <w:i/>
              </w:rPr>
              <w:t>60 to 61%</w:t>
            </w:r>
          </w:p>
        </w:tc>
      </w:tr>
      <w:tr w:rsidR="00CF19A7" w:rsidRPr="00CF19A7" w14:paraId="0EA619B0" w14:textId="77777777" w:rsidTr="00723FAF">
        <w:trPr>
          <w:trHeight w:val="125"/>
        </w:trPr>
        <w:tc>
          <w:tcPr>
            <w:tcW w:w="1615" w:type="dxa"/>
            <w:shd w:val="clear" w:color="auto" w:fill="auto"/>
          </w:tcPr>
          <w:p w14:paraId="5719549A" w14:textId="77777777" w:rsidR="00CF19A7" w:rsidRPr="00CF19A7" w:rsidRDefault="00CF19A7" w:rsidP="00723FAF">
            <w:pPr>
              <w:rPr>
                <w:rFonts w:eastAsia="Calibri" w:cstheme="minorHAnsi"/>
                <w:i/>
              </w:rPr>
            </w:pPr>
            <w:r w:rsidRPr="00CF19A7">
              <w:rPr>
                <w:rFonts w:eastAsia="Calibri" w:cstheme="minorHAnsi"/>
                <w:i/>
              </w:rPr>
              <w:t>F</w:t>
            </w:r>
          </w:p>
        </w:tc>
        <w:tc>
          <w:tcPr>
            <w:tcW w:w="1620" w:type="dxa"/>
            <w:shd w:val="clear" w:color="auto" w:fill="auto"/>
          </w:tcPr>
          <w:p w14:paraId="01CF741C" w14:textId="77777777" w:rsidR="00CF19A7" w:rsidRPr="00CF19A7" w:rsidRDefault="00CF19A7" w:rsidP="00723FAF">
            <w:pPr>
              <w:rPr>
                <w:rFonts w:eastAsia="Calibri" w:cstheme="minorHAnsi"/>
                <w:i/>
              </w:rPr>
            </w:pPr>
            <w:r w:rsidRPr="00CF19A7">
              <w:rPr>
                <w:rFonts w:eastAsia="Calibri" w:cstheme="minorHAnsi"/>
                <w:i/>
              </w:rPr>
              <w:t xml:space="preserve"> Below 60%</w:t>
            </w:r>
          </w:p>
        </w:tc>
      </w:tr>
    </w:tbl>
    <w:p w14:paraId="5E3CD04D"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p>
    <w:p w14:paraId="5E0FF71B"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p>
    <w:p w14:paraId="2587BE8C" w14:textId="77777777" w:rsidR="007520B0" w:rsidRPr="00CF19A7" w:rsidRDefault="007520B0" w:rsidP="001752D1">
      <w:pPr>
        <w:spacing w:line="259" w:lineRule="auto"/>
        <w:rPr>
          <w:rFonts w:eastAsia="Times New Roman" w:cstheme="minorHAnsi"/>
          <w:b/>
          <w:bCs/>
          <w:color w:val="2D3B45"/>
          <w:sz w:val="24"/>
          <w:szCs w:val="24"/>
        </w:rPr>
      </w:pPr>
      <w:r w:rsidRPr="00CF19A7">
        <w:rPr>
          <w:rFonts w:cstheme="minorHAnsi"/>
          <w:b/>
          <w:szCs w:val="24"/>
        </w:rPr>
        <w:t>Academic Integrity</w:t>
      </w:r>
    </w:p>
    <w:p w14:paraId="63A5BE60" w14:textId="77777777" w:rsidR="007520B0" w:rsidRPr="00CF19A7" w:rsidRDefault="007520B0" w:rsidP="007520B0">
      <w:pPr>
        <w:pStyle w:val="BodyText"/>
        <w:rPr>
          <w:rFonts w:asciiTheme="minorHAnsi" w:hAnsiTheme="minorHAnsi" w:cstheme="minorHAnsi"/>
          <w:bCs/>
          <w:sz w:val="24"/>
          <w:szCs w:val="24"/>
        </w:rPr>
      </w:pPr>
      <w:r w:rsidRPr="00CF19A7">
        <w:rPr>
          <w:rFonts w:asciiTheme="minorHAnsi" w:hAnsiTheme="minorHAnsi" w:cstheme="minorHAnsi"/>
          <w:sz w:val="24"/>
          <w:szCs w:val="24"/>
        </w:rPr>
        <w:t xml:space="preserve">Students should know the University’s Academic Integrity Policy that is available at </w:t>
      </w:r>
      <w:hyperlink r:id="rId5" w:history="1">
        <w:r w:rsidRPr="00CF19A7">
          <w:rPr>
            <w:rStyle w:val="Hyperlink"/>
            <w:rFonts w:asciiTheme="minorHAnsi" w:hAnsiTheme="minorHAnsi" w:cstheme="minorHAnsi"/>
            <w:sz w:val="24"/>
            <w:szCs w:val="24"/>
          </w:rPr>
          <w:t>http://www.sjsu.edu/senate/docs/F15-7.pdf</w:t>
        </w:r>
      </w:hyperlink>
      <w:r w:rsidRPr="00CF19A7">
        <w:rPr>
          <w:rFonts w:asciiTheme="minorHAnsi" w:hAnsiTheme="minorHAnsi" w:cstheme="minorHAnsi"/>
          <w:sz w:val="24"/>
          <w:szCs w:val="24"/>
        </w:rPr>
        <w:t xml:space="preserve">.  </w:t>
      </w:r>
      <w:r w:rsidRPr="00CF19A7">
        <w:rPr>
          <w:rFonts w:asciiTheme="minorHAnsi" w:hAnsiTheme="minorHAnsi" w:cstheme="minorHAnsi"/>
          <w:bCs/>
          <w:sz w:val="24"/>
          <w:szCs w:val="24"/>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6" w:history="1">
        <w:r w:rsidRPr="00CF19A7">
          <w:rPr>
            <w:rStyle w:val="Hyperlink"/>
            <w:rFonts w:asciiTheme="minorHAnsi" w:hAnsiTheme="minorHAnsi" w:cstheme="minorHAnsi"/>
            <w:sz w:val="24"/>
            <w:szCs w:val="24"/>
          </w:rPr>
          <w:t>http://www.sjsu.edu/studentconduct/</w:t>
        </w:r>
      </w:hyperlink>
      <w:r w:rsidRPr="00CF19A7">
        <w:rPr>
          <w:rFonts w:asciiTheme="minorHAnsi" w:hAnsiTheme="minorHAnsi" w:cstheme="minorHAnsi"/>
          <w:bCs/>
          <w:sz w:val="24"/>
          <w:szCs w:val="24"/>
        </w:rPr>
        <w:t xml:space="preserve">. </w:t>
      </w:r>
    </w:p>
    <w:p w14:paraId="68854795" w14:textId="77777777" w:rsidR="007520B0" w:rsidRPr="00CF19A7" w:rsidRDefault="007520B0" w:rsidP="007520B0">
      <w:pPr>
        <w:pStyle w:val="BodyText"/>
        <w:rPr>
          <w:rFonts w:asciiTheme="minorHAnsi" w:hAnsiTheme="minorHAnsi" w:cstheme="minorHAnsi"/>
          <w:bCs/>
          <w:sz w:val="24"/>
          <w:szCs w:val="24"/>
        </w:rPr>
      </w:pPr>
      <w:r w:rsidRPr="00CF19A7">
        <w:rPr>
          <w:rFonts w:asciiTheme="minorHAnsi" w:hAnsiTheme="minorHAnsi" w:cstheme="minorHAnsi"/>
          <w:bCs/>
          <w:sz w:val="24"/>
          <w:szCs w:val="24"/>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5C180FBF" w14:textId="77777777" w:rsidR="007520B0" w:rsidRPr="00CF19A7" w:rsidRDefault="007520B0" w:rsidP="007520B0">
      <w:pPr>
        <w:pStyle w:val="BodyText"/>
        <w:rPr>
          <w:rFonts w:asciiTheme="minorHAnsi" w:hAnsiTheme="minorHAnsi" w:cstheme="minorHAnsi"/>
          <w:bCs/>
          <w:sz w:val="24"/>
          <w:szCs w:val="24"/>
        </w:rPr>
      </w:pPr>
      <w:r w:rsidRPr="00CF19A7">
        <w:rPr>
          <w:rFonts w:asciiTheme="minorHAnsi" w:hAnsiTheme="minorHAnsi" w:cstheme="minorHAnsi"/>
          <w:bCs/>
          <w:sz w:val="24"/>
          <w:szCs w:val="24"/>
        </w:rPr>
        <w:t>Be sure to read the following additional information on academic integrity and avoiding plagiarism from Professor Nellen at:</w:t>
      </w:r>
    </w:p>
    <w:p w14:paraId="2220EC74" w14:textId="77777777" w:rsidR="007520B0" w:rsidRPr="00CF19A7" w:rsidRDefault="00AF6F8A" w:rsidP="007520B0">
      <w:pPr>
        <w:pStyle w:val="BodyText"/>
        <w:rPr>
          <w:rFonts w:asciiTheme="minorHAnsi" w:hAnsiTheme="minorHAnsi" w:cstheme="minorHAnsi"/>
          <w:bCs/>
          <w:sz w:val="24"/>
          <w:szCs w:val="24"/>
        </w:rPr>
      </w:pPr>
      <w:hyperlink r:id="rId7" w:anchor="Integrity" w:history="1">
        <w:r w:rsidR="007520B0" w:rsidRPr="00CF19A7">
          <w:rPr>
            <w:rStyle w:val="Hyperlink"/>
            <w:rFonts w:asciiTheme="minorHAnsi" w:hAnsiTheme="minorHAnsi" w:cstheme="minorHAnsi"/>
            <w:bCs/>
            <w:sz w:val="24"/>
            <w:szCs w:val="24"/>
          </w:rPr>
          <w:t>http://www.sjsu.edu/people/annette.nellen/website/ClassInfo.html#Integrity</w:t>
        </w:r>
      </w:hyperlink>
      <w:r w:rsidR="007520B0" w:rsidRPr="00CF19A7">
        <w:rPr>
          <w:rFonts w:asciiTheme="minorHAnsi" w:hAnsiTheme="minorHAnsi" w:cstheme="minorHAnsi"/>
          <w:bCs/>
          <w:sz w:val="24"/>
          <w:szCs w:val="24"/>
        </w:rPr>
        <w:t xml:space="preserve"> </w:t>
      </w:r>
    </w:p>
    <w:p w14:paraId="641BDE5A" w14:textId="77777777" w:rsidR="007520B0" w:rsidRPr="00CF19A7" w:rsidRDefault="007520B0" w:rsidP="007520B0">
      <w:pPr>
        <w:pStyle w:val="Heading3"/>
        <w:rPr>
          <w:rFonts w:asciiTheme="minorHAnsi" w:hAnsiTheme="minorHAnsi" w:cstheme="minorHAnsi"/>
          <w:b w:val="0"/>
          <w:szCs w:val="24"/>
        </w:rPr>
      </w:pPr>
      <w:r w:rsidRPr="00CF19A7">
        <w:rPr>
          <w:rFonts w:asciiTheme="minorHAnsi" w:hAnsiTheme="minorHAnsi" w:cstheme="minorHAnsi"/>
          <w:b w:val="0"/>
          <w:szCs w:val="24"/>
        </w:rPr>
        <w:t>Campus Policy in Compliance with the American Disabilities Act</w:t>
      </w:r>
    </w:p>
    <w:p w14:paraId="1C2E1616" w14:textId="77777777" w:rsidR="007520B0" w:rsidRPr="00CF19A7" w:rsidRDefault="007520B0" w:rsidP="007520B0">
      <w:pPr>
        <w:pStyle w:val="BodyText"/>
        <w:rPr>
          <w:rFonts w:asciiTheme="minorHAnsi" w:hAnsiTheme="minorHAnsi" w:cstheme="minorHAnsi"/>
          <w:color w:val="0000FF"/>
          <w:sz w:val="24"/>
          <w:szCs w:val="24"/>
          <w:u w:val="single"/>
        </w:rPr>
      </w:pPr>
      <w:r w:rsidRPr="00CF19A7">
        <w:rPr>
          <w:rFonts w:asciiTheme="minorHAnsi" w:hAnsiTheme="minorHAnsi" w:cstheme="minorHAnsi"/>
          <w:sz w:val="24"/>
          <w:szCs w:val="24"/>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2F121958" w14:textId="77777777" w:rsidR="001752D1" w:rsidRPr="00CF19A7" w:rsidRDefault="001752D1">
      <w:pPr>
        <w:spacing w:line="259" w:lineRule="auto"/>
        <w:rPr>
          <w:rFonts w:eastAsia="Times New Roman" w:cstheme="minorHAnsi"/>
          <w:b/>
          <w:bCs/>
          <w:i/>
          <w:sz w:val="36"/>
          <w:szCs w:val="24"/>
        </w:rPr>
      </w:pPr>
      <w:r w:rsidRPr="00CF19A7">
        <w:rPr>
          <w:rFonts w:cstheme="minorHAnsi"/>
          <w:i/>
          <w:szCs w:val="24"/>
        </w:rPr>
        <w:br w:type="page"/>
      </w:r>
    </w:p>
    <w:p w14:paraId="64630628" w14:textId="77777777" w:rsidR="007520B0" w:rsidRPr="00CF19A7" w:rsidRDefault="007520B0" w:rsidP="007520B0">
      <w:pPr>
        <w:pStyle w:val="Heading2"/>
        <w:rPr>
          <w:rFonts w:asciiTheme="minorHAnsi" w:eastAsia="Arial" w:hAnsiTheme="minorHAnsi" w:cstheme="minorHAnsi"/>
          <w:i/>
          <w:szCs w:val="24"/>
        </w:rPr>
      </w:pPr>
      <w:r w:rsidRPr="00CF19A7">
        <w:rPr>
          <w:rFonts w:asciiTheme="minorHAnsi" w:hAnsiTheme="minorHAnsi" w:cstheme="minorHAnsi"/>
          <w:i/>
          <w:szCs w:val="24"/>
        </w:rPr>
        <w:t>Consent for Recording of Class and Public Sharing of Instructor</w:t>
      </w:r>
      <w:r w:rsidRPr="00CF19A7">
        <w:rPr>
          <w:rFonts w:asciiTheme="minorHAnsi" w:hAnsiTheme="minorHAnsi" w:cstheme="minorHAnsi"/>
          <w:i/>
          <w:spacing w:val="-20"/>
          <w:szCs w:val="24"/>
        </w:rPr>
        <w:t xml:space="preserve"> </w:t>
      </w:r>
      <w:r w:rsidRPr="00CF19A7">
        <w:rPr>
          <w:rFonts w:asciiTheme="minorHAnsi" w:hAnsiTheme="minorHAnsi" w:cstheme="minorHAnsi"/>
          <w:i/>
          <w:szCs w:val="24"/>
        </w:rPr>
        <w:t>Material</w:t>
      </w:r>
    </w:p>
    <w:p w14:paraId="45F0076B" w14:textId="77777777" w:rsidR="007520B0" w:rsidRPr="00CF19A7" w:rsidRDefault="007520B0" w:rsidP="007520B0">
      <w:pPr>
        <w:pStyle w:val="BodyText"/>
        <w:ind w:left="115" w:right="232"/>
        <w:rPr>
          <w:rFonts w:asciiTheme="minorHAnsi" w:hAnsiTheme="minorHAnsi" w:cstheme="minorHAnsi"/>
          <w:sz w:val="24"/>
          <w:szCs w:val="24"/>
        </w:rPr>
      </w:pPr>
      <w:r w:rsidRPr="00CF19A7">
        <w:rPr>
          <w:rFonts w:asciiTheme="minorHAnsi" w:hAnsiTheme="minorHAnsi" w:cstheme="minorHAnsi"/>
          <w:sz w:val="24"/>
          <w:szCs w:val="24"/>
          <w:u w:val="single" w:color="0000FF"/>
        </w:rPr>
        <w:t>University Policy S12-7</w:t>
      </w:r>
      <w:r w:rsidRPr="00CF19A7">
        <w:rPr>
          <w:rFonts w:asciiTheme="minorHAnsi" w:hAnsiTheme="minorHAnsi" w:cstheme="minorHAnsi"/>
          <w:sz w:val="24"/>
          <w:szCs w:val="24"/>
        </w:rPr>
        <w:t xml:space="preserve">, </w:t>
      </w:r>
      <w:hyperlink r:id="rId8" w:history="1">
        <w:r w:rsidRPr="00CF19A7">
          <w:rPr>
            <w:rStyle w:val="Hyperlink"/>
            <w:rFonts w:asciiTheme="minorHAnsi" w:hAnsiTheme="minorHAnsi" w:cstheme="minorHAnsi"/>
            <w:sz w:val="24"/>
            <w:szCs w:val="24"/>
          </w:rPr>
          <w:t xml:space="preserve">http://www.sjsu.edu/senate/docs/S12-7.pdf, </w:t>
        </w:r>
      </w:hyperlink>
      <w:r w:rsidRPr="00CF19A7">
        <w:rPr>
          <w:rFonts w:asciiTheme="minorHAnsi" w:hAnsiTheme="minorHAnsi" w:cstheme="minorHAnsi"/>
          <w:sz w:val="24"/>
          <w:szCs w:val="24"/>
        </w:rPr>
        <w:t>requires students to obtain instructor’s permission to record the</w:t>
      </w:r>
      <w:r w:rsidRPr="00CF19A7">
        <w:rPr>
          <w:rFonts w:asciiTheme="minorHAnsi" w:hAnsiTheme="minorHAnsi" w:cstheme="minorHAnsi"/>
          <w:spacing w:val="-18"/>
          <w:sz w:val="24"/>
          <w:szCs w:val="24"/>
        </w:rPr>
        <w:t xml:space="preserve"> </w:t>
      </w:r>
      <w:r w:rsidRPr="00CF19A7">
        <w:rPr>
          <w:rFonts w:asciiTheme="minorHAnsi" w:hAnsiTheme="minorHAnsi" w:cstheme="minorHAnsi"/>
          <w:sz w:val="24"/>
          <w:szCs w:val="24"/>
        </w:rPr>
        <w:t>course.</w:t>
      </w:r>
    </w:p>
    <w:p w14:paraId="24597A60" w14:textId="77777777" w:rsidR="007520B0" w:rsidRPr="00CF19A7" w:rsidRDefault="007520B0" w:rsidP="007520B0">
      <w:pPr>
        <w:pStyle w:val="ListParagraph"/>
        <w:widowControl w:val="0"/>
        <w:numPr>
          <w:ilvl w:val="0"/>
          <w:numId w:val="3"/>
        </w:numPr>
        <w:tabs>
          <w:tab w:val="left" w:pos="836"/>
        </w:tabs>
        <w:spacing w:after="120" w:line="240" w:lineRule="auto"/>
        <w:ind w:right="106" w:hanging="359"/>
        <w:rPr>
          <w:rFonts w:asciiTheme="minorHAnsi" w:eastAsia="Times New Roman" w:hAnsiTheme="minorHAnsi" w:cstheme="minorHAnsi"/>
          <w:sz w:val="24"/>
          <w:szCs w:val="24"/>
        </w:rPr>
      </w:pPr>
      <w:r w:rsidRPr="00CF19A7">
        <w:rPr>
          <w:rFonts w:asciiTheme="minorHAnsi" w:eastAsia="Times New Roman" w:hAnsiTheme="minorHAnsi" w:cstheme="minorHAnsi"/>
          <w:sz w:val="24"/>
          <w:szCs w:val="24"/>
        </w:rPr>
        <w:t>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w:t>
      </w:r>
      <w:r w:rsidRPr="00CF19A7">
        <w:rPr>
          <w:rFonts w:asciiTheme="minorHAnsi" w:eastAsia="Times New Roman" w:hAnsiTheme="minorHAnsi" w:cstheme="minorHAnsi"/>
          <w:spacing w:val="-30"/>
          <w:sz w:val="24"/>
          <w:szCs w:val="24"/>
        </w:rPr>
        <w:t xml:space="preserve"> </w:t>
      </w:r>
      <w:r w:rsidRPr="00CF19A7">
        <w:rPr>
          <w:rFonts w:asciiTheme="minorHAnsi" w:eastAsia="Times New Roman" w:hAnsiTheme="minorHAnsi" w:cstheme="minorHAnsi"/>
          <w:sz w:val="24"/>
          <w:szCs w:val="24"/>
        </w:rPr>
        <w:t>material.”</w:t>
      </w:r>
    </w:p>
    <w:p w14:paraId="17B87AF0" w14:textId="77777777" w:rsidR="007520B0" w:rsidRPr="00CF19A7" w:rsidRDefault="007520B0" w:rsidP="007520B0">
      <w:pPr>
        <w:pStyle w:val="ListParagraph"/>
        <w:widowControl w:val="0"/>
        <w:numPr>
          <w:ilvl w:val="0"/>
          <w:numId w:val="3"/>
        </w:numPr>
        <w:tabs>
          <w:tab w:val="left" w:pos="836"/>
        </w:tabs>
        <w:spacing w:after="120" w:line="240" w:lineRule="auto"/>
        <w:ind w:left="836" w:right="132"/>
        <w:rPr>
          <w:rFonts w:asciiTheme="minorHAnsi" w:eastAsia="Times New Roman" w:hAnsiTheme="minorHAnsi" w:cstheme="minorHAnsi"/>
          <w:sz w:val="24"/>
          <w:szCs w:val="24"/>
        </w:rPr>
      </w:pPr>
      <w:r w:rsidRPr="00CF19A7">
        <w:rPr>
          <w:rFonts w:asciiTheme="minorHAnsi" w:hAnsiTheme="minorHAnsi" w:cstheme="minorHAnsi"/>
          <w:sz w:val="24"/>
          <w:szCs w:val="24"/>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w:t>
      </w:r>
      <w:r w:rsidRPr="00CF19A7">
        <w:rPr>
          <w:rFonts w:asciiTheme="minorHAnsi" w:hAnsiTheme="minorHAnsi" w:cstheme="minorHAnsi"/>
          <w:spacing w:val="-19"/>
          <w:sz w:val="24"/>
          <w:szCs w:val="24"/>
        </w:rPr>
        <w:t xml:space="preserve"> </w:t>
      </w:r>
      <w:r w:rsidRPr="00CF19A7">
        <w:rPr>
          <w:rFonts w:asciiTheme="minorHAnsi" w:hAnsiTheme="minorHAnsi" w:cstheme="minorHAnsi"/>
          <w:sz w:val="24"/>
          <w:szCs w:val="24"/>
        </w:rPr>
        <w:t>consent.</w:t>
      </w:r>
    </w:p>
    <w:p w14:paraId="1B50F64C" w14:textId="77777777" w:rsidR="007520B0" w:rsidRPr="00CF19A7" w:rsidRDefault="007520B0" w:rsidP="007520B0">
      <w:pPr>
        <w:pStyle w:val="ListParagraph"/>
        <w:widowControl w:val="0"/>
        <w:numPr>
          <w:ilvl w:val="0"/>
          <w:numId w:val="3"/>
        </w:numPr>
        <w:tabs>
          <w:tab w:val="left" w:pos="836"/>
        </w:tabs>
        <w:spacing w:after="120" w:line="240" w:lineRule="auto"/>
        <w:ind w:left="836"/>
        <w:rPr>
          <w:rFonts w:asciiTheme="minorHAnsi" w:eastAsia="Times New Roman" w:hAnsiTheme="minorHAnsi" w:cstheme="minorHAnsi"/>
          <w:sz w:val="24"/>
          <w:szCs w:val="24"/>
        </w:rPr>
      </w:pPr>
      <w:r w:rsidRPr="00CF19A7">
        <w:rPr>
          <w:rFonts w:asciiTheme="minorHAnsi" w:hAnsiTheme="minorHAnsi" w:cstheme="minorHAnsi"/>
          <w:sz w:val="24"/>
          <w:szCs w:val="24"/>
        </w:rPr>
        <w:t>You may request permission, either in writing or orally, at any time during the</w:t>
      </w:r>
      <w:r w:rsidRPr="00CF19A7">
        <w:rPr>
          <w:rFonts w:asciiTheme="minorHAnsi" w:hAnsiTheme="minorHAnsi" w:cstheme="minorHAnsi"/>
          <w:spacing w:val="-41"/>
          <w:sz w:val="24"/>
          <w:szCs w:val="24"/>
        </w:rPr>
        <w:t xml:space="preserve"> </w:t>
      </w:r>
      <w:r w:rsidRPr="00CF19A7">
        <w:rPr>
          <w:rFonts w:asciiTheme="minorHAnsi" w:hAnsiTheme="minorHAnsi" w:cstheme="minorHAnsi"/>
          <w:sz w:val="24"/>
          <w:szCs w:val="24"/>
        </w:rPr>
        <w:t>semester.</w:t>
      </w:r>
    </w:p>
    <w:p w14:paraId="0C05826D" w14:textId="77777777" w:rsidR="007520B0" w:rsidRPr="00CF19A7" w:rsidRDefault="007520B0" w:rsidP="007520B0">
      <w:pPr>
        <w:pStyle w:val="ListParagraph"/>
        <w:widowControl w:val="0"/>
        <w:numPr>
          <w:ilvl w:val="0"/>
          <w:numId w:val="3"/>
        </w:numPr>
        <w:tabs>
          <w:tab w:val="left" w:pos="836"/>
        </w:tabs>
        <w:spacing w:after="120" w:line="240" w:lineRule="auto"/>
        <w:ind w:right="659"/>
        <w:rPr>
          <w:rFonts w:asciiTheme="minorHAnsi" w:eastAsia="Times New Roman" w:hAnsiTheme="minorHAnsi" w:cstheme="minorHAnsi"/>
          <w:sz w:val="24"/>
          <w:szCs w:val="24"/>
        </w:rPr>
      </w:pPr>
      <w:r w:rsidRPr="00CF19A7">
        <w:rPr>
          <w:rFonts w:asciiTheme="minorHAnsi" w:hAnsiTheme="minorHAnsi" w:cstheme="minorHAnsi"/>
          <w:sz w:val="24"/>
          <w:szCs w:val="24"/>
        </w:rPr>
        <w:t>If students or guests may be on the recording, permission of those students or</w:t>
      </w:r>
      <w:r w:rsidRPr="00CF19A7">
        <w:rPr>
          <w:rFonts w:asciiTheme="minorHAnsi" w:hAnsiTheme="minorHAnsi" w:cstheme="minorHAnsi"/>
          <w:spacing w:val="-32"/>
          <w:sz w:val="24"/>
          <w:szCs w:val="24"/>
        </w:rPr>
        <w:t xml:space="preserve"> </w:t>
      </w:r>
      <w:r w:rsidRPr="00CF19A7">
        <w:rPr>
          <w:rFonts w:asciiTheme="minorHAnsi" w:hAnsiTheme="minorHAnsi" w:cstheme="minorHAnsi"/>
          <w:sz w:val="24"/>
          <w:szCs w:val="24"/>
        </w:rPr>
        <w:t>guests should be obtained as</w:t>
      </w:r>
      <w:r w:rsidRPr="00CF19A7">
        <w:rPr>
          <w:rFonts w:asciiTheme="minorHAnsi" w:hAnsiTheme="minorHAnsi" w:cstheme="minorHAnsi"/>
          <w:spacing w:val="-9"/>
          <w:sz w:val="24"/>
          <w:szCs w:val="24"/>
        </w:rPr>
        <w:t xml:space="preserve"> </w:t>
      </w:r>
      <w:r w:rsidRPr="00CF19A7">
        <w:rPr>
          <w:rFonts w:asciiTheme="minorHAnsi" w:hAnsiTheme="minorHAnsi" w:cstheme="minorHAnsi"/>
          <w:sz w:val="24"/>
          <w:szCs w:val="24"/>
        </w:rPr>
        <w:t>well.</w:t>
      </w:r>
    </w:p>
    <w:p w14:paraId="638F158E" w14:textId="6CA1AB35" w:rsidR="00CF19A7" w:rsidRPr="00843327" w:rsidRDefault="00CF19A7" w:rsidP="00CF19A7">
      <w:pPr>
        <w:pStyle w:val="Heading2"/>
        <w:rPr>
          <w:rFonts w:asciiTheme="minorHAnsi" w:hAnsiTheme="minorHAnsi" w:cstheme="minorHAnsi"/>
          <w:szCs w:val="24"/>
        </w:rPr>
      </w:pPr>
      <w:r>
        <w:rPr>
          <w:rFonts w:asciiTheme="minorHAnsi" w:hAnsiTheme="minorHAnsi" w:cstheme="minorHAnsi"/>
          <w:szCs w:val="24"/>
        </w:rPr>
        <w:t xml:space="preserve">Other </w:t>
      </w:r>
      <w:r w:rsidRPr="00843327">
        <w:rPr>
          <w:rFonts w:asciiTheme="minorHAnsi" w:hAnsiTheme="minorHAnsi" w:cstheme="minorHAnsi"/>
          <w:szCs w:val="24"/>
        </w:rPr>
        <w:t xml:space="preserve">University Policies </w:t>
      </w:r>
    </w:p>
    <w:p w14:paraId="033AE0ED" w14:textId="77777777" w:rsidR="00CF19A7" w:rsidRPr="00843327" w:rsidRDefault="00CF19A7" w:rsidP="00CF19A7">
      <w:pPr>
        <w:spacing w:after="120"/>
        <w:rPr>
          <w:rFonts w:cstheme="minorHAnsi"/>
        </w:rPr>
      </w:pPr>
      <w:r w:rsidRPr="00843327">
        <w:rPr>
          <w:rFonts w:cstheme="minorHAnsi"/>
        </w:rPr>
        <w:t xml:space="preserve">Per University Policy S16-9, university-wide policy information relevant to all courses, such as academic integrity, accommodations, etc. will be available on Office of Graduate and Undergraduate Programs’ </w:t>
      </w:r>
      <w:hyperlink r:id="rId9" w:history="1">
        <w:r w:rsidRPr="00843327">
          <w:rPr>
            <w:rStyle w:val="Hyperlink"/>
            <w:rFonts w:cstheme="minorHAnsi"/>
          </w:rPr>
          <w:t>Syllabus Information web page</w:t>
        </w:r>
      </w:hyperlink>
      <w:r w:rsidRPr="00843327">
        <w:rPr>
          <w:rFonts w:cstheme="minorHAnsi"/>
        </w:rPr>
        <w:t xml:space="preserve"> at </w:t>
      </w:r>
      <w:hyperlink r:id="rId10" w:history="1">
        <w:r w:rsidRPr="00843327">
          <w:rPr>
            <w:rStyle w:val="Hyperlink"/>
            <w:rFonts w:cstheme="minorHAnsi"/>
          </w:rPr>
          <w:t>http://www.sjsu.edu/gup/syllabusinfo/</w:t>
        </w:r>
      </w:hyperlink>
      <w:r w:rsidRPr="00843327">
        <w:rPr>
          <w:rFonts w:cstheme="minorHAnsi"/>
        </w:rPr>
        <w:t>.  Be sure to review these university policies and resources.</w:t>
      </w:r>
    </w:p>
    <w:p w14:paraId="71A6CAAB" w14:textId="26BA0506" w:rsidR="00CF19A7" w:rsidRPr="00CF19A7" w:rsidRDefault="00CF19A7" w:rsidP="007520B0">
      <w:pPr>
        <w:rPr>
          <w:rFonts w:eastAsia="Batang" w:cstheme="minorHAnsi"/>
          <w:lang w:eastAsia="ko-KR"/>
        </w:rPr>
      </w:pPr>
    </w:p>
    <w:p w14:paraId="495F773E" w14:textId="77777777" w:rsidR="00CF19A7" w:rsidRPr="00CF19A7" w:rsidRDefault="00CF19A7" w:rsidP="007520B0">
      <w:pPr>
        <w:rPr>
          <w:rFonts w:eastAsia="Batang" w:cstheme="minorHAnsi"/>
          <w:lang w:eastAsia="ko-KR"/>
        </w:rPr>
      </w:pPr>
    </w:p>
    <w:p w14:paraId="29F37920" w14:textId="77777777" w:rsidR="007520B0" w:rsidRPr="00CF19A7" w:rsidRDefault="007520B0" w:rsidP="007520B0">
      <w:pPr>
        <w:shd w:val="clear" w:color="auto" w:fill="FFFFFF"/>
        <w:spacing w:before="180" w:after="180" w:line="240" w:lineRule="auto"/>
        <w:rPr>
          <w:rFonts w:eastAsia="Times New Roman" w:cstheme="minorHAnsi"/>
          <w:color w:val="2D3B45"/>
          <w:kern w:val="36"/>
          <w:sz w:val="43"/>
          <w:szCs w:val="43"/>
        </w:rPr>
      </w:pPr>
    </w:p>
    <w:p w14:paraId="1164BB08" w14:textId="77777777" w:rsidR="00CF19A7" w:rsidRDefault="00CF19A7">
      <w:pPr>
        <w:spacing w:line="259" w:lineRule="auto"/>
        <w:rPr>
          <w:rFonts w:eastAsia="Times New Roman" w:cstheme="minorHAnsi"/>
          <w:b/>
          <w:bCs/>
          <w:color w:val="2D3B45"/>
          <w:kern w:val="36"/>
          <w:sz w:val="43"/>
          <w:szCs w:val="43"/>
        </w:rPr>
      </w:pPr>
      <w:r>
        <w:rPr>
          <w:rFonts w:eastAsia="Times New Roman" w:cstheme="minorHAnsi"/>
          <w:b/>
          <w:bCs/>
          <w:color w:val="2D3B45"/>
          <w:kern w:val="36"/>
          <w:sz w:val="43"/>
          <w:szCs w:val="43"/>
        </w:rPr>
        <w:br w:type="page"/>
      </w:r>
    </w:p>
    <w:p w14:paraId="027407B9" w14:textId="06FC2003" w:rsidR="007520B0" w:rsidRPr="00CF19A7" w:rsidRDefault="007520B0" w:rsidP="007520B0">
      <w:pPr>
        <w:shd w:val="clear" w:color="auto" w:fill="FFFFFF"/>
        <w:spacing w:before="90" w:after="90" w:line="240" w:lineRule="auto"/>
        <w:outlineLvl w:val="0"/>
        <w:rPr>
          <w:rFonts w:eastAsia="Times New Roman" w:cstheme="minorHAnsi"/>
          <w:color w:val="2D3B45"/>
          <w:kern w:val="36"/>
          <w:sz w:val="43"/>
          <w:szCs w:val="43"/>
        </w:rPr>
      </w:pPr>
      <w:r w:rsidRPr="00CF19A7">
        <w:rPr>
          <w:rFonts w:eastAsia="Times New Roman" w:cstheme="minorHAnsi"/>
          <w:b/>
          <w:bCs/>
          <w:color w:val="2D3B45"/>
          <w:kern w:val="36"/>
          <w:sz w:val="43"/>
          <w:szCs w:val="43"/>
        </w:rPr>
        <w:t>Course Schedule</w:t>
      </w:r>
    </w:p>
    <w:p w14:paraId="3858F2E3"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r w:rsidRPr="00CF19A7">
        <w:rPr>
          <w:rFonts w:eastAsia="Times New Roman" w:cstheme="minorHAnsi"/>
          <w:i/>
          <w:iCs/>
          <w:color w:val="2D3B45"/>
          <w:sz w:val="24"/>
          <w:szCs w:val="24"/>
        </w:rPr>
        <w:t>Schedule is subject to change with fair notice.</w:t>
      </w:r>
    </w:p>
    <w:tbl>
      <w:tblPr>
        <w:tblW w:w="9225" w:type="dxa"/>
        <w:shd w:val="clear" w:color="auto" w:fill="FFFFFF"/>
        <w:tblCellMar>
          <w:top w:w="15" w:type="dxa"/>
          <w:left w:w="15" w:type="dxa"/>
          <w:bottom w:w="15" w:type="dxa"/>
          <w:right w:w="15" w:type="dxa"/>
        </w:tblCellMar>
        <w:tblLook w:val="04A0" w:firstRow="1" w:lastRow="0" w:firstColumn="1" w:lastColumn="0" w:noHBand="0" w:noVBand="1"/>
      </w:tblPr>
      <w:tblGrid>
        <w:gridCol w:w="870"/>
        <w:gridCol w:w="1440"/>
        <w:gridCol w:w="6915"/>
      </w:tblGrid>
      <w:tr w:rsidR="00365CBE" w:rsidRPr="00CF19A7" w14:paraId="38391263" w14:textId="77777777" w:rsidTr="00365CBE">
        <w:tc>
          <w:tcPr>
            <w:tcW w:w="870" w:type="dxa"/>
            <w:shd w:val="clear" w:color="auto" w:fill="FFFFFF"/>
            <w:tcMar>
              <w:top w:w="30" w:type="dxa"/>
              <w:left w:w="30" w:type="dxa"/>
              <w:bottom w:w="30" w:type="dxa"/>
              <w:right w:w="30" w:type="dxa"/>
            </w:tcMar>
            <w:vAlign w:val="center"/>
            <w:hideMark/>
          </w:tcPr>
          <w:p w14:paraId="476ACE86"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Week</w:t>
            </w:r>
          </w:p>
        </w:tc>
        <w:tc>
          <w:tcPr>
            <w:tcW w:w="1440" w:type="dxa"/>
            <w:shd w:val="clear" w:color="auto" w:fill="FFFFFF"/>
            <w:tcMar>
              <w:top w:w="30" w:type="dxa"/>
              <w:left w:w="30" w:type="dxa"/>
              <w:bottom w:w="30" w:type="dxa"/>
              <w:right w:w="30" w:type="dxa"/>
            </w:tcMar>
            <w:vAlign w:val="center"/>
            <w:hideMark/>
          </w:tcPr>
          <w:p w14:paraId="6781D646"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Date</w:t>
            </w:r>
          </w:p>
        </w:tc>
        <w:tc>
          <w:tcPr>
            <w:tcW w:w="6915" w:type="dxa"/>
            <w:shd w:val="clear" w:color="auto" w:fill="FFFFFF"/>
            <w:tcMar>
              <w:top w:w="30" w:type="dxa"/>
              <w:left w:w="30" w:type="dxa"/>
              <w:bottom w:w="30" w:type="dxa"/>
              <w:right w:w="30" w:type="dxa"/>
            </w:tcMar>
            <w:vAlign w:val="center"/>
            <w:hideMark/>
          </w:tcPr>
          <w:p w14:paraId="7B063556"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Topics, Readings, Assignments, Deadlines</w:t>
            </w:r>
          </w:p>
        </w:tc>
      </w:tr>
      <w:tr w:rsidR="00365CBE" w:rsidRPr="00CF19A7" w14:paraId="2CB5D3CB" w14:textId="77777777" w:rsidTr="00365CBE">
        <w:tc>
          <w:tcPr>
            <w:tcW w:w="870" w:type="dxa"/>
            <w:shd w:val="clear" w:color="auto" w:fill="FFFFFF"/>
            <w:tcMar>
              <w:top w:w="30" w:type="dxa"/>
              <w:left w:w="30" w:type="dxa"/>
              <w:bottom w:w="30" w:type="dxa"/>
              <w:right w:w="30" w:type="dxa"/>
            </w:tcMar>
            <w:vAlign w:val="center"/>
            <w:hideMark/>
          </w:tcPr>
          <w:p w14:paraId="00833A68"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1</w:t>
            </w:r>
          </w:p>
          <w:p w14:paraId="45646479"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 </w:t>
            </w:r>
          </w:p>
        </w:tc>
        <w:tc>
          <w:tcPr>
            <w:tcW w:w="1440" w:type="dxa"/>
            <w:shd w:val="clear" w:color="auto" w:fill="FFFFFF"/>
            <w:tcMar>
              <w:top w:w="30" w:type="dxa"/>
              <w:left w:w="30" w:type="dxa"/>
              <w:bottom w:w="30" w:type="dxa"/>
              <w:right w:w="30" w:type="dxa"/>
            </w:tcMar>
            <w:vAlign w:val="center"/>
            <w:hideMark/>
          </w:tcPr>
          <w:p w14:paraId="376F54BE"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1/08/21</w:t>
            </w:r>
          </w:p>
        </w:tc>
        <w:tc>
          <w:tcPr>
            <w:tcW w:w="6915" w:type="dxa"/>
            <w:shd w:val="clear" w:color="auto" w:fill="FFFFFF"/>
            <w:tcMar>
              <w:top w:w="30" w:type="dxa"/>
              <w:left w:w="30" w:type="dxa"/>
              <w:bottom w:w="30" w:type="dxa"/>
              <w:right w:w="30" w:type="dxa"/>
            </w:tcMar>
            <w:vAlign w:val="center"/>
            <w:hideMark/>
          </w:tcPr>
          <w:p w14:paraId="4512D9B6"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       Introductions</w:t>
            </w:r>
          </w:p>
          <w:p w14:paraId="7F36E90A" w14:textId="77777777" w:rsidR="00365CBE" w:rsidRPr="00CF19A7" w:rsidRDefault="00365CBE" w:rsidP="00365CBE">
            <w:pPr>
              <w:numPr>
                <w:ilvl w:val="0"/>
                <w:numId w:val="4"/>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Introduction to course and expectations</w:t>
            </w:r>
          </w:p>
          <w:p w14:paraId="7897213C" w14:textId="77777777" w:rsidR="00365CBE" w:rsidRPr="00CF19A7" w:rsidRDefault="00365CBE" w:rsidP="00365CBE">
            <w:pPr>
              <w:numPr>
                <w:ilvl w:val="0"/>
                <w:numId w:val="4"/>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Key steps of tax compliance</w:t>
            </w:r>
          </w:p>
          <w:p w14:paraId="58E2FDB2" w14:textId="77777777" w:rsidR="00365CBE" w:rsidRPr="00CF19A7" w:rsidRDefault="00365CBE" w:rsidP="00365CBE">
            <w:pPr>
              <w:numPr>
                <w:ilvl w:val="0"/>
                <w:numId w:val="4"/>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 xml:space="preserve">Working through Form 1040, including Schedules </w:t>
            </w:r>
            <w:r w:rsidR="001752D1" w:rsidRPr="00CF19A7">
              <w:rPr>
                <w:rFonts w:eastAsia="Times New Roman" w:cstheme="minorHAnsi"/>
                <w:color w:val="2D3B45"/>
                <w:sz w:val="24"/>
                <w:szCs w:val="24"/>
              </w:rPr>
              <w:t>A, B</w:t>
            </w:r>
            <w:r w:rsidRPr="00CF19A7">
              <w:rPr>
                <w:rFonts w:eastAsia="Times New Roman" w:cstheme="minorHAnsi"/>
                <w:color w:val="2D3B45"/>
                <w:sz w:val="24"/>
                <w:szCs w:val="24"/>
              </w:rPr>
              <w:t>,C,D, SE, and related forms</w:t>
            </w:r>
          </w:p>
          <w:p w14:paraId="172B7C18" w14:textId="77777777" w:rsidR="00365CBE" w:rsidRPr="00CF19A7" w:rsidRDefault="00365CBE" w:rsidP="00365CBE">
            <w:pPr>
              <w:numPr>
                <w:ilvl w:val="0"/>
                <w:numId w:val="4"/>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Due diligence</w:t>
            </w:r>
          </w:p>
          <w:p w14:paraId="7A4463CE" w14:textId="77777777" w:rsidR="001752D1" w:rsidRPr="00CF19A7" w:rsidRDefault="001752D1" w:rsidP="00365CBE">
            <w:pPr>
              <w:numPr>
                <w:ilvl w:val="0"/>
                <w:numId w:val="4"/>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Quiz</w:t>
            </w:r>
          </w:p>
        </w:tc>
      </w:tr>
      <w:tr w:rsidR="00365CBE" w:rsidRPr="00CF19A7" w14:paraId="1530B0F9" w14:textId="77777777" w:rsidTr="00365CBE">
        <w:tc>
          <w:tcPr>
            <w:tcW w:w="870" w:type="dxa"/>
            <w:shd w:val="clear" w:color="auto" w:fill="FFFFFF"/>
            <w:tcMar>
              <w:top w:w="30" w:type="dxa"/>
              <w:left w:w="30" w:type="dxa"/>
              <w:bottom w:w="30" w:type="dxa"/>
              <w:right w:w="30" w:type="dxa"/>
            </w:tcMar>
            <w:vAlign w:val="center"/>
            <w:hideMark/>
          </w:tcPr>
          <w:p w14:paraId="568AD342"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2</w:t>
            </w:r>
          </w:p>
          <w:p w14:paraId="26D773E1"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 </w:t>
            </w:r>
          </w:p>
        </w:tc>
        <w:tc>
          <w:tcPr>
            <w:tcW w:w="1440" w:type="dxa"/>
            <w:shd w:val="clear" w:color="auto" w:fill="FFFFFF"/>
            <w:tcMar>
              <w:top w:w="30" w:type="dxa"/>
              <w:left w:w="30" w:type="dxa"/>
              <w:bottom w:w="30" w:type="dxa"/>
              <w:right w:w="30" w:type="dxa"/>
            </w:tcMar>
            <w:vAlign w:val="center"/>
            <w:hideMark/>
          </w:tcPr>
          <w:p w14:paraId="32853D9B"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1/15/21</w:t>
            </w:r>
          </w:p>
        </w:tc>
        <w:tc>
          <w:tcPr>
            <w:tcW w:w="6915" w:type="dxa"/>
            <w:shd w:val="clear" w:color="auto" w:fill="FFFFFF"/>
            <w:tcMar>
              <w:top w:w="30" w:type="dxa"/>
              <w:left w:w="30" w:type="dxa"/>
              <w:bottom w:w="30" w:type="dxa"/>
              <w:right w:w="30" w:type="dxa"/>
            </w:tcMar>
            <w:vAlign w:val="center"/>
            <w:hideMark/>
          </w:tcPr>
          <w:p w14:paraId="3C9925FF" w14:textId="77777777" w:rsidR="00365CBE" w:rsidRPr="00CF19A7" w:rsidRDefault="00365CBE" w:rsidP="00365CBE">
            <w:pPr>
              <w:numPr>
                <w:ilvl w:val="0"/>
                <w:numId w:val="5"/>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Delving deeper into Form 1040 and special rules</w:t>
            </w:r>
          </w:p>
          <w:p w14:paraId="5A537470" w14:textId="77777777" w:rsidR="00365CBE" w:rsidRPr="00CF19A7" w:rsidRDefault="00365CBE" w:rsidP="00365CBE">
            <w:pPr>
              <w:numPr>
                <w:ilvl w:val="0"/>
                <w:numId w:val="5"/>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E-filing basics</w:t>
            </w:r>
          </w:p>
          <w:p w14:paraId="4EA6CD7F" w14:textId="77777777" w:rsidR="00365CBE" w:rsidRPr="00CF19A7" w:rsidRDefault="00365CBE" w:rsidP="00365CBE">
            <w:pPr>
              <w:numPr>
                <w:ilvl w:val="0"/>
                <w:numId w:val="5"/>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Considerations in selecting and using tax prep software</w:t>
            </w:r>
          </w:p>
          <w:p w14:paraId="70264EAF" w14:textId="77777777" w:rsidR="00365CBE" w:rsidRPr="00CF19A7" w:rsidRDefault="00365CBE" w:rsidP="00365CBE">
            <w:pPr>
              <w:numPr>
                <w:ilvl w:val="0"/>
                <w:numId w:val="5"/>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Tax practice considerations (engagement letters, clients screening, checklists, disclosures, and more)</w:t>
            </w:r>
          </w:p>
          <w:p w14:paraId="08A58FB5" w14:textId="77777777" w:rsidR="00365CBE" w:rsidRPr="00CF19A7" w:rsidRDefault="00365CBE" w:rsidP="00365CBE">
            <w:pPr>
              <w:numPr>
                <w:ilvl w:val="0"/>
                <w:numId w:val="5"/>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Key federal / California differences</w:t>
            </w:r>
          </w:p>
          <w:p w14:paraId="5286B73E" w14:textId="77777777" w:rsidR="00365CBE" w:rsidRPr="00CF19A7" w:rsidRDefault="00365CBE" w:rsidP="00365CBE">
            <w:pPr>
              <w:numPr>
                <w:ilvl w:val="0"/>
                <w:numId w:val="5"/>
              </w:numPr>
              <w:spacing w:before="100" w:beforeAutospacing="1" w:after="100" w:afterAutospacing="1" w:line="240" w:lineRule="auto"/>
              <w:ind w:left="375"/>
              <w:rPr>
                <w:rFonts w:eastAsia="Times New Roman" w:cstheme="minorHAnsi"/>
                <w:color w:val="2D3B45"/>
                <w:sz w:val="24"/>
                <w:szCs w:val="24"/>
              </w:rPr>
            </w:pPr>
            <w:r w:rsidRPr="00CF19A7">
              <w:rPr>
                <w:rFonts w:eastAsia="Times New Roman" w:cstheme="minorHAnsi"/>
                <w:color w:val="2D3B45"/>
                <w:sz w:val="24"/>
                <w:szCs w:val="24"/>
              </w:rPr>
              <w:t>Looking forward – state of the federal tax law and relevance to compliance and planning for individuals</w:t>
            </w:r>
          </w:p>
        </w:tc>
      </w:tr>
      <w:tr w:rsidR="00365CBE" w:rsidRPr="00CF19A7" w14:paraId="147D3545" w14:textId="77777777" w:rsidTr="00365CBE">
        <w:tc>
          <w:tcPr>
            <w:tcW w:w="870" w:type="dxa"/>
            <w:shd w:val="clear" w:color="auto" w:fill="FFFFFF"/>
            <w:tcMar>
              <w:top w:w="30" w:type="dxa"/>
              <w:left w:w="30" w:type="dxa"/>
              <w:bottom w:w="30" w:type="dxa"/>
              <w:right w:w="30" w:type="dxa"/>
            </w:tcMar>
            <w:vAlign w:val="center"/>
            <w:hideMark/>
          </w:tcPr>
          <w:p w14:paraId="08020612"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3</w:t>
            </w:r>
          </w:p>
          <w:p w14:paraId="50AF8A33"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 </w:t>
            </w:r>
          </w:p>
        </w:tc>
        <w:tc>
          <w:tcPr>
            <w:tcW w:w="1440" w:type="dxa"/>
            <w:shd w:val="clear" w:color="auto" w:fill="FFFFFF"/>
            <w:tcMar>
              <w:top w:w="30" w:type="dxa"/>
              <w:left w:w="30" w:type="dxa"/>
              <w:bottom w:w="30" w:type="dxa"/>
              <w:right w:w="30" w:type="dxa"/>
            </w:tcMar>
            <w:vAlign w:val="center"/>
            <w:hideMark/>
          </w:tcPr>
          <w:p w14:paraId="7955A010"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1/25/21</w:t>
            </w:r>
          </w:p>
        </w:tc>
        <w:tc>
          <w:tcPr>
            <w:tcW w:w="6915" w:type="dxa"/>
            <w:shd w:val="clear" w:color="auto" w:fill="FFFFFF"/>
            <w:tcMar>
              <w:top w:w="30" w:type="dxa"/>
              <w:left w:w="30" w:type="dxa"/>
              <w:bottom w:w="30" w:type="dxa"/>
              <w:right w:w="30" w:type="dxa"/>
            </w:tcMar>
            <w:vAlign w:val="center"/>
            <w:hideMark/>
          </w:tcPr>
          <w:p w14:paraId="64EA8856" w14:textId="77777777" w:rsidR="00365CBE" w:rsidRPr="00CF19A7" w:rsidRDefault="00365CBE" w:rsidP="00365CBE">
            <w:pPr>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Final project due via email (1/25/21)</w:t>
            </w:r>
          </w:p>
        </w:tc>
      </w:tr>
    </w:tbl>
    <w:p w14:paraId="22714C5E"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p>
    <w:p w14:paraId="6F8B83BE"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 </w:t>
      </w:r>
    </w:p>
    <w:p w14:paraId="564A08CF" w14:textId="77777777" w:rsidR="001752D1" w:rsidRPr="00CF19A7" w:rsidRDefault="001752D1">
      <w:pPr>
        <w:rPr>
          <w:rFonts w:cstheme="minorHAnsi"/>
        </w:rPr>
      </w:pPr>
      <w:r w:rsidRPr="00CF19A7">
        <w:rPr>
          <w:rFonts w:cstheme="minorHAnsi"/>
        </w:rPr>
        <w:br w:type="page"/>
      </w:r>
    </w:p>
    <w:tbl>
      <w:tblPr>
        <w:tblW w:w="4600" w:type="pct"/>
        <w:tblInd w:w="75" w:type="dxa"/>
        <w:tblLook w:val="04A0" w:firstRow="1" w:lastRow="0" w:firstColumn="1" w:lastColumn="0" w:noHBand="0" w:noVBand="1"/>
      </w:tblPr>
      <w:tblGrid>
        <w:gridCol w:w="386"/>
        <w:gridCol w:w="2237"/>
        <w:gridCol w:w="5988"/>
      </w:tblGrid>
      <w:tr w:rsidR="007520B0" w:rsidRPr="00CF19A7" w14:paraId="5C01293C" w14:textId="77777777" w:rsidTr="001752D1">
        <w:tc>
          <w:tcPr>
            <w:tcW w:w="8611" w:type="dxa"/>
            <w:gridSpan w:val="3"/>
            <w:tcMar>
              <w:top w:w="30" w:type="dxa"/>
              <w:left w:w="30" w:type="dxa"/>
              <w:bottom w:w="30" w:type="dxa"/>
              <w:right w:w="30" w:type="dxa"/>
            </w:tcMar>
            <w:vAlign w:val="center"/>
            <w:hideMark/>
          </w:tcPr>
          <w:p w14:paraId="7140BF8B"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MST Program Learning Goals</w:t>
            </w:r>
          </w:p>
        </w:tc>
      </w:tr>
      <w:tr w:rsidR="007520B0" w:rsidRPr="00CF19A7" w14:paraId="59F20F06" w14:textId="77777777" w:rsidTr="001752D1">
        <w:tc>
          <w:tcPr>
            <w:tcW w:w="386" w:type="dxa"/>
            <w:tcMar>
              <w:top w:w="30" w:type="dxa"/>
              <w:left w:w="30" w:type="dxa"/>
              <w:bottom w:w="30" w:type="dxa"/>
              <w:right w:w="30" w:type="dxa"/>
            </w:tcMar>
            <w:vAlign w:val="center"/>
            <w:hideMark/>
          </w:tcPr>
          <w:p w14:paraId="3397D8CF"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1</w:t>
            </w:r>
          </w:p>
        </w:tc>
        <w:tc>
          <w:tcPr>
            <w:tcW w:w="2237" w:type="dxa"/>
            <w:tcMar>
              <w:top w:w="30" w:type="dxa"/>
              <w:left w:w="30" w:type="dxa"/>
              <w:bottom w:w="30" w:type="dxa"/>
              <w:right w:w="30" w:type="dxa"/>
            </w:tcMar>
            <w:vAlign w:val="center"/>
            <w:hideMark/>
          </w:tcPr>
          <w:p w14:paraId="63655A42"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Complex and Multi-jurisdictional Tax Issues</w:t>
            </w:r>
          </w:p>
        </w:tc>
        <w:tc>
          <w:tcPr>
            <w:tcW w:w="5988" w:type="dxa"/>
            <w:tcMar>
              <w:top w:w="30" w:type="dxa"/>
              <w:left w:w="30" w:type="dxa"/>
              <w:bottom w:w="30" w:type="dxa"/>
              <w:right w:w="30" w:type="dxa"/>
            </w:tcMar>
            <w:vAlign w:val="center"/>
            <w:hideMark/>
          </w:tcPr>
          <w:p w14:paraId="424486BE"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To identify, understand and resolve complex and multijurisdictional tax issues within the context of our global economy and society.</w:t>
            </w:r>
          </w:p>
        </w:tc>
      </w:tr>
      <w:tr w:rsidR="007520B0" w:rsidRPr="00CF19A7" w14:paraId="141EEEF1" w14:textId="77777777" w:rsidTr="001752D1">
        <w:tc>
          <w:tcPr>
            <w:tcW w:w="386" w:type="dxa"/>
            <w:tcMar>
              <w:top w:w="30" w:type="dxa"/>
              <w:left w:w="30" w:type="dxa"/>
              <w:bottom w:w="30" w:type="dxa"/>
              <w:right w:w="30" w:type="dxa"/>
            </w:tcMar>
            <w:vAlign w:val="center"/>
            <w:hideMark/>
          </w:tcPr>
          <w:p w14:paraId="36373784"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2</w:t>
            </w:r>
          </w:p>
        </w:tc>
        <w:tc>
          <w:tcPr>
            <w:tcW w:w="2237" w:type="dxa"/>
            <w:tcMar>
              <w:top w:w="30" w:type="dxa"/>
              <w:left w:w="30" w:type="dxa"/>
              <w:bottom w:w="30" w:type="dxa"/>
              <w:right w:w="30" w:type="dxa"/>
            </w:tcMar>
            <w:vAlign w:val="center"/>
            <w:hideMark/>
          </w:tcPr>
          <w:p w14:paraId="7F5990BA"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Research Skills</w:t>
            </w:r>
          </w:p>
        </w:tc>
        <w:tc>
          <w:tcPr>
            <w:tcW w:w="5988" w:type="dxa"/>
            <w:tcMar>
              <w:top w:w="30" w:type="dxa"/>
              <w:left w:w="30" w:type="dxa"/>
              <w:bottom w:w="30" w:type="dxa"/>
              <w:right w:w="30" w:type="dxa"/>
            </w:tcMar>
            <w:vAlign w:val="center"/>
            <w:hideMark/>
          </w:tcPr>
          <w:p w14:paraId="2A121E3E"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To learn research skills for exploring both familiar and novel areas of the tax law and to communicate the findings in clear terms.</w:t>
            </w:r>
          </w:p>
        </w:tc>
      </w:tr>
      <w:tr w:rsidR="007520B0" w:rsidRPr="00CF19A7" w14:paraId="43035DA6" w14:textId="77777777" w:rsidTr="001752D1">
        <w:tc>
          <w:tcPr>
            <w:tcW w:w="386" w:type="dxa"/>
            <w:tcMar>
              <w:top w:w="30" w:type="dxa"/>
              <w:left w:w="30" w:type="dxa"/>
              <w:bottom w:w="30" w:type="dxa"/>
              <w:right w:w="30" w:type="dxa"/>
            </w:tcMar>
            <w:vAlign w:val="center"/>
            <w:hideMark/>
          </w:tcPr>
          <w:p w14:paraId="01C152CB"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3</w:t>
            </w:r>
          </w:p>
        </w:tc>
        <w:tc>
          <w:tcPr>
            <w:tcW w:w="2237" w:type="dxa"/>
            <w:tcMar>
              <w:top w:w="30" w:type="dxa"/>
              <w:left w:w="30" w:type="dxa"/>
              <w:bottom w:w="30" w:type="dxa"/>
              <w:right w:w="30" w:type="dxa"/>
            </w:tcMar>
            <w:vAlign w:val="center"/>
            <w:hideMark/>
          </w:tcPr>
          <w:p w14:paraId="7091F4E8"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Analytical Skills</w:t>
            </w:r>
          </w:p>
        </w:tc>
        <w:tc>
          <w:tcPr>
            <w:tcW w:w="5988" w:type="dxa"/>
            <w:tcMar>
              <w:top w:w="30" w:type="dxa"/>
              <w:left w:w="30" w:type="dxa"/>
              <w:bottom w:w="30" w:type="dxa"/>
              <w:right w:w="30" w:type="dxa"/>
            </w:tcMar>
            <w:vAlign w:val="center"/>
            <w:hideMark/>
          </w:tcPr>
          <w:p w14:paraId="2A6D6D35"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To develop conceptual and analytic skills with real world applications.</w:t>
            </w:r>
          </w:p>
        </w:tc>
      </w:tr>
      <w:tr w:rsidR="007520B0" w:rsidRPr="00CF19A7" w14:paraId="4859346E" w14:textId="77777777" w:rsidTr="001752D1">
        <w:tc>
          <w:tcPr>
            <w:tcW w:w="386" w:type="dxa"/>
            <w:tcMar>
              <w:top w:w="30" w:type="dxa"/>
              <w:left w:w="30" w:type="dxa"/>
              <w:bottom w:w="30" w:type="dxa"/>
              <w:right w:w="30" w:type="dxa"/>
            </w:tcMar>
            <w:vAlign w:val="center"/>
            <w:hideMark/>
          </w:tcPr>
          <w:p w14:paraId="732C8983"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4</w:t>
            </w:r>
          </w:p>
        </w:tc>
        <w:tc>
          <w:tcPr>
            <w:tcW w:w="2237" w:type="dxa"/>
            <w:tcMar>
              <w:top w:w="30" w:type="dxa"/>
              <w:left w:w="30" w:type="dxa"/>
              <w:bottom w:w="30" w:type="dxa"/>
              <w:right w:w="30" w:type="dxa"/>
            </w:tcMar>
            <w:vAlign w:val="center"/>
            <w:hideMark/>
          </w:tcPr>
          <w:p w14:paraId="0EA44920"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Tax Policy</w:t>
            </w:r>
          </w:p>
        </w:tc>
        <w:tc>
          <w:tcPr>
            <w:tcW w:w="5988" w:type="dxa"/>
            <w:tcMar>
              <w:top w:w="30" w:type="dxa"/>
              <w:left w:w="30" w:type="dxa"/>
              <w:bottom w:w="30" w:type="dxa"/>
              <w:right w:w="30" w:type="dxa"/>
            </w:tcMar>
            <w:vAlign w:val="center"/>
            <w:hideMark/>
          </w:tcPr>
          <w:p w14:paraId="4F95FEB5"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To appreciate tax policy issues and foundations of the tax law.</w:t>
            </w:r>
          </w:p>
        </w:tc>
      </w:tr>
      <w:tr w:rsidR="007520B0" w:rsidRPr="00CF19A7" w14:paraId="3D2A07D0" w14:textId="77777777" w:rsidTr="001752D1">
        <w:tc>
          <w:tcPr>
            <w:tcW w:w="386" w:type="dxa"/>
            <w:tcMar>
              <w:top w:w="30" w:type="dxa"/>
              <w:left w:w="30" w:type="dxa"/>
              <w:bottom w:w="30" w:type="dxa"/>
              <w:right w:w="30" w:type="dxa"/>
            </w:tcMar>
            <w:vAlign w:val="center"/>
            <w:hideMark/>
          </w:tcPr>
          <w:p w14:paraId="213D2F2A"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5</w:t>
            </w:r>
          </w:p>
        </w:tc>
        <w:tc>
          <w:tcPr>
            <w:tcW w:w="2237" w:type="dxa"/>
            <w:tcMar>
              <w:top w:w="30" w:type="dxa"/>
              <w:left w:w="30" w:type="dxa"/>
              <w:bottom w:w="30" w:type="dxa"/>
              <w:right w:w="30" w:type="dxa"/>
            </w:tcMar>
            <w:vAlign w:val="center"/>
            <w:hideMark/>
          </w:tcPr>
          <w:p w14:paraId="43471182"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Ethical Implications of Tax Practice</w:t>
            </w:r>
          </w:p>
        </w:tc>
        <w:tc>
          <w:tcPr>
            <w:tcW w:w="5988" w:type="dxa"/>
            <w:tcMar>
              <w:top w:w="30" w:type="dxa"/>
              <w:left w:w="30" w:type="dxa"/>
              <w:bottom w:w="30" w:type="dxa"/>
              <w:right w:w="30" w:type="dxa"/>
            </w:tcMar>
            <w:vAlign w:val="center"/>
            <w:hideMark/>
          </w:tcPr>
          <w:p w14:paraId="18778B5C"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To understand the ethical implications of tax practice.</w:t>
            </w:r>
          </w:p>
        </w:tc>
      </w:tr>
      <w:tr w:rsidR="007520B0" w:rsidRPr="00CF19A7" w14:paraId="119A4325" w14:textId="77777777" w:rsidTr="001752D1">
        <w:tc>
          <w:tcPr>
            <w:tcW w:w="386" w:type="dxa"/>
            <w:tcMar>
              <w:top w:w="30" w:type="dxa"/>
              <w:left w:w="30" w:type="dxa"/>
              <w:bottom w:w="30" w:type="dxa"/>
              <w:right w:w="30" w:type="dxa"/>
            </w:tcMar>
            <w:vAlign w:val="center"/>
            <w:hideMark/>
          </w:tcPr>
          <w:p w14:paraId="107A83AB"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6</w:t>
            </w:r>
          </w:p>
        </w:tc>
        <w:tc>
          <w:tcPr>
            <w:tcW w:w="2237" w:type="dxa"/>
            <w:tcMar>
              <w:top w:w="30" w:type="dxa"/>
              <w:left w:w="30" w:type="dxa"/>
              <w:bottom w:w="30" w:type="dxa"/>
              <w:right w:w="30" w:type="dxa"/>
            </w:tcMar>
            <w:vAlign w:val="center"/>
            <w:hideMark/>
          </w:tcPr>
          <w:p w14:paraId="4719E713"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b/>
                <w:bCs/>
                <w:sz w:val="24"/>
                <w:szCs w:val="24"/>
              </w:rPr>
              <w:t>Tax Practice and Career Advancement</w:t>
            </w:r>
          </w:p>
        </w:tc>
        <w:tc>
          <w:tcPr>
            <w:tcW w:w="5988" w:type="dxa"/>
            <w:tcMar>
              <w:top w:w="30" w:type="dxa"/>
              <w:left w:w="30" w:type="dxa"/>
              <w:bottom w:w="30" w:type="dxa"/>
              <w:right w:w="30" w:type="dxa"/>
            </w:tcMar>
            <w:vAlign w:val="center"/>
            <w:hideMark/>
          </w:tcPr>
          <w:p w14:paraId="47C2A755" w14:textId="77777777" w:rsidR="007520B0" w:rsidRPr="00CF19A7" w:rsidRDefault="007520B0">
            <w:pPr>
              <w:spacing w:before="180" w:after="180" w:line="240" w:lineRule="auto"/>
              <w:rPr>
                <w:rFonts w:eastAsia="Times New Roman" w:cstheme="minorHAnsi"/>
                <w:sz w:val="24"/>
                <w:szCs w:val="24"/>
              </w:rPr>
            </w:pPr>
            <w:r w:rsidRPr="00CF19A7">
              <w:rPr>
                <w:rFonts w:eastAsia="Times New Roman" w:cstheme="minorHAnsi"/>
                <w:sz w:val="24"/>
                <w:szCs w:val="24"/>
              </w:rPr>
              <w:t>To develop skills for effective tax practice including keeping current, interacting with others, and career advancement.</w:t>
            </w:r>
          </w:p>
        </w:tc>
      </w:tr>
    </w:tbl>
    <w:p w14:paraId="660E9F0E" w14:textId="77777777" w:rsidR="007520B0" w:rsidRPr="00CF19A7" w:rsidRDefault="007520B0" w:rsidP="007520B0">
      <w:pPr>
        <w:shd w:val="clear" w:color="auto" w:fill="FFFFFF"/>
        <w:spacing w:before="180" w:after="180" w:line="240" w:lineRule="auto"/>
        <w:rPr>
          <w:rFonts w:eastAsia="Times New Roman" w:cstheme="minorHAnsi"/>
          <w:color w:val="2D3B45"/>
          <w:sz w:val="24"/>
          <w:szCs w:val="24"/>
        </w:rPr>
      </w:pPr>
      <w:r w:rsidRPr="00CF19A7">
        <w:rPr>
          <w:rFonts w:eastAsia="Times New Roman" w:cstheme="minorHAnsi"/>
          <w:color w:val="2D3B45"/>
          <w:sz w:val="24"/>
          <w:szCs w:val="24"/>
        </w:rPr>
        <w:t> </w:t>
      </w:r>
    </w:p>
    <w:p w14:paraId="59F8DA44" w14:textId="77777777" w:rsidR="00A47065" w:rsidRPr="00CF19A7" w:rsidRDefault="00A47065">
      <w:pPr>
        <w:rPr>
          <w:rFonts w:cstheme="minorHAnsi"/>
        </w:rPr>
      </w:pPr>
    </w:p>
    <w:sectPr w:rsidR="00A47065" w:rsidRPr="00CF1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4D5"/>
    <w:multiLevelType w:val="multilevel"/>
    <w:tmpl w:val="2E44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060A1"/>
    <w:multiLevelType w:val="multilevel"/>
    <w:tmpl w:val="F71C99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81F67"/>
    <w:multiLevelType w:val="multilevel"/>
    <w:tmpl w:val="DEA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E0664"/>
    <w:multiLevelType w:val="multilevel"/>
    <w:tmpl w:val="B09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665F3"/>
    <w:multiLevelType w:val="hybridMultilevel"/>
    <w:tmpl w:val="BA32A0E6"/>
    <w:lvl w:ilvl="0" w:tplc="1FC67ADE">
      <w:start w:val="1"/>
      <w:numFmt w:val="bullet"/>
      <w:lvlText w:val=""/>
      <w:lvlJc w:val="left"/>
      <w:pPr>
        <w:ind w:left="835" w:hanging="360"/>
      </w:pPr>
      <w:rPr>
        <w:rFonts w:ascii="Symbol" w:eastAsia="Symbol" w:hAnsi="Symbol" w:hint="default"/>
        <w:w w:val="99"/>
        <w:sz w:val="24"/>
        <w:szCs w:val="24"/>
      </w:rPr>
    </w:lvl>
    <w:lvl w:ilvl="1" w:tplc="F2BA7C2C">
      <w:start w:val="1"/>
      <w:numFmt w:val="bullet"/>
      <w:lvlText w:val="•"/>
      <w:lvlJc w:val="left"/>
      <w:pPr>
        <w:ind w:left="1714" w:hanging="360"/>
      </w:pPr>
    </w:lvl>
    <w:lvl w:ilvl="2" w:tplc="39E46BFE">
      <w:start w:val="1"/>
      <w:numFmt w:val="bullet"/>
      <w:lvlText w:val="•"/>
      <w:lvlJc w:val="left"/>
      <w:pPr>
        <w:ind w:left="2588" w:hanging="360"/>
      </w:pPr>
    </w:lvl>
    <w:lvl w:ilvl="3" w:tplc="627495EC">
      <w:start w:val="1"/>
      <w:numFmt w:val="bullet"/>
      <w:lvlText w:val="•"/>
      <w:lvlJc w:val="left"/>
      <w:pPr>
        <w:ind w:left="3462" w:hanging="360"/>
      </w:pPr>
    </w:lvl>
    <w:lvl w:ilvl="4" w:tplc="17BAAD32">
      <w:start w:val="1"/>
      <w:numFmt w:val="bullet"/>
      <w:lvlText w:val="•"/>
      <w:lvlJc w:val="left"/>
      <w:pPr>
        <w:ind w:left="4336" w:hanging="360"/>
      </w:pPr>
    </w:lvl>
    <w:lvl w:ilvl="5" w:tplc="E1D8C86E">
      <w:start w:val="1"/>
      <w:numFmt w:val="bullet"/>
      <w:lvlText w:val="•"/>
      <w:lvlJc w:val="left"/>
      <w:pPr>
        <w:ind w:left="5210" w:hanging="360"/>
      </w:pPr>
    </w:lvl>
    <w:lvl w:ilvl="6" w:tplc="D2048C5E">
      <w:start w:val="1"/>
      <w:numFmt w:val="bullet"/>
      <w:lvlText w:val="•"/>
      <w:lvlJc w:val="left"/>
      <w:pPr>
        <w:ind w:left="6084" w:hanging="360"/>
      </w:pPr>
    </w:lvl>
    <w:lvl w:ilvl="7" w:tplc="7C7AE006">
      <w:start w:val="1"/>
      <w:numFmt w:val="bullet"/>
      <w:lvlText w:val="•"/>
      <w:lvlJc w:val="left"/>
      <w:pPr>
        <w:ind w:left="6958" w:hanging="360"/>
      </w:pPr>
    </w:lvl>
    <w:lvl w:ilvl="8" w:tplc="EDF0C8BA">
      <w:start w:val="1"/>
      <w:numFmt w:val="bullet"/>
      <w:lvlText w:val="•"/>
      <w:lvlJc w:val="left"/>
      <w:pPr>
        <w:ind w:left="7832" w:hanging="360"/>
      </w:pPr>
    </w:lvl>
  </w:abstractNum>
  <w:abstractNum w:abstractNumId="5" w15:restartNumberingAfterBreak="0">
    <w:nsid w:val="76101FCF"/>
    <w:multiLevelType w:val="multilevel"/>
    <w:tmpl w:val="1CF0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B0"/>
    <w:rsid w:val="001752D1"/>
    <w:rsid w:val="00365CBE"/>
    <w:rsid w:val="005F7BC1"/>
    <w:rsid w:val="007520B0"/>
    <w:rsid w:val="00A47065"/>
    <w:rsid w:val="00AF6F8A"/>
    <w:rsid w:val="00CF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F9ED"/>
  <w15:chartTrackingRefBased/>
  <w15:docId w15:val="{CFBC2451-6972-4C3E-A790-021D3690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0B0"/>
    <w:pPr>
      <w:spacing w:line="256" w:lineRule="auto"/>
    </w:pPr>
  </w:style>
  <w:style w:type="paragraph" w:styleId="Heading2">
    <w:name w:val="heading 2"/>
    <w:basedOn w:val="Normal"/>
    <w:link w:val="Heading2Char"/>
    <w:uiPriority w:val="9"/>
    <w:semiHidden/>
    <w:unhideWhenUsed/>
    <w:qFormat/>
    <w:rsid w:val="007520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752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520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520B0"/>
    <w:rPr>
      <w:rFonts w:ascii="Times New Roman" w:eastAsia="Times New Roman" w:hAnsi="Times New Roman" w:cs="Times New Roman"/>
      <w:b/>
      <w:bCs/>
      <w:sz w:val="27"/>
      <w:szCs w:val="27"/>
    </w:rPr>
  </w:style>
  <w:style w:type="character" w:styleId="Hyperlink">
    <w:name w:val="Hyperlink"/>
    <w:basedOn w:val="DefaultParagraphFont"/>
    <w:unhideWhenUsed/>
    <w:rsid w:val="007520B0"/>
    <w:rPr>
      <w:color w:val="0000FF"/>
      <w:u w:val="single"/>
    </w:rPr>
  </w:style>
  <w:style w:type="paragraph" w:styleId="NormalWeb">
    <w:name w:val="Normal (Web)"/>
    <w:basedOn w:val="Normal"/>
    <w:uiPriority w:val="99"/>
    <w:semiHidden/>
    <w:unhideWhenUsed/>
    <w:rsid w:val="007520B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520B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7520B0"/>
    <w:rPr>
      <w:rFonts w:ascii="Times New Roman" w:eastAsia="Times New Roman" w:hAnsi="Times New Roman" w:cs="Times New Roman"/>
      <w:sz w:val="20"/>
      <w:szCs w:val="20"/>
    </w:rPr>
  </w:style>
  <w:style w:type="paragraph" w:styleId="ListParagraph">
    <w:name w:val="List Paragraph"/>
    <w:basedOn w:val="Normal"/>
    <w:uiPriority w:val="99"/>
    <w:qFormat/>
    <w:rsid w:val="007520B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598258">
      <w:bodyDiv w:val="1"/>
      <w:marLeft w:val="0"/>
      <w:marRight w:val="0"/>
      <w:marTop w:val="0"/>
      <w:marBottom w:val="0"/>
      <w:divBdr>
        <w:top w:val="none" w:sz="0" w:space="0" w:color="auto"/>
        <w:left w:val="none" w:sz="0" w:space="0" w:color="auto"/>
        <w:bottom w:val="none" w:sz="0" w:space="0" w:color="auto"/>
        <w:right w:val="none" w:sz="0" w:space="0" w:color="auto"/>
      </w:divBdr>
    </w:div>
    <w:div w:id="18621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2-7.pdf" TargetMode="External"/><Relationship Id="rId3" Type="http://schemas.openxmlformats.org/officeDocument/2006/relationships/settings" Target="settings.xml"/><Relationship Id="rId7" Type="http://schemas.openxmlformats.org/officeDocument/2006/relationships/hyperlink" Target="http://www.sjsu.edu/people/annette.nellen/website/ClassInf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studentconduct/" TargetMode="External"/><Relationship Id="rId11" Type="http://schemas.openxmlformats.org/officeDocument/2006/relationships/fontTable" Target="fontTable.xml"/><Relationship Id="rId5" Type="http://schemas.openxmlformats.org/officeDocument/2006/relationships/hyperlink" Target="http://www.sjsu.edu/senate/docs/F15-7.pdf" TargetMode="External"/><Relationship Id="rId10" Type="http://schemas.openxmlformats.org/officeDocument/2006/relationships/hyperlink" Target="http://www.sjsu.edu/gup/syllabusinfo/" TargetMode="External"/><Relationship Id="rId4" Type="http://schemas.openxmlformats.org/officeDocument/2006/relationships/webSettings" Target="web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Neighbors</dc:creator>
  <cp:keywords/>
  <dc:description/>
  <cp:lastModifiedBy>cobuser</cp:lastModifiedBy>
  <cp:revision>2</cp:revision>
  <dcterms:created xsi:type="dcterms:W3CDTF">2020-12-15T21:13:00Z</dcterms:created>
  <dcterms:modified xsi:type="dcterms:W3CDTF">2020-12-15T21:13:00Z</dcterms:modified>
</cp:coreProperties>
</file>