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03E2E" w:rsidRPr="008D50B3" w:rsidRDefault="00503E2E" w:rsidP="00503E2E">
      <w:pPr>
        <w:pStyle w:val="Heading1"/>
        <w:spacing w:after="120"/>
        <w:rPr>
          <w:rStyle w:val="Heading2Char"/>
          <w:rFonts w:ascii="Times New Roman" w:hAnsi="Times New Roman" w:cs="Times New Roman"/>
        </w:rPr>
      </w:pPr>
      <w:r w:rsidRPr="008D50B3">
        <w:rPr>
          <w:rFonts w:ascii="Times New Roman" w:hAnsi="Times New Roman" w:cs="Times New Roman"/>
        </w:rPr>
        <w:t>San José State University</w:t>
      </w:r>
      <w:r w:rsidRPr="008D50B3">
        <w:rPr>
          <w:rFonts w:ascii="Times New Roman" w:hAnsi="Times New Roman" w:cs="Times New Roman"/>
        </w:rPr>
        <w:br/>
      </w:r>
      <w:r w:rsidRPr="008D50B3">
        <w:rPr>
          <w:rFonts w:ascii="Times New Roman" w:hAnsi="Times New Roman" w:cs="Times New Roman"/>
        </w:rPr>
        <w:br/>
      </w:r>
      <w:r w:rsidR="00346418" w:rsidRPr="008D50B3">
        <w:rPr>
          <w:rStyle w:val="Heading2Char"/>
          <w:rFonts w:ascii="Times New Roman" w:hAnsi="Times New Roman" w:cs="Times New Roman"/>
        </w:rPr>
        <w:t>Lucas Graduate School</w:t>
      </w:r>
      <w:r w:rsidR="00346418" w:rsidRPr="008D50B3">
        <w:rPr>
          <w:rStyle w:val="Heading2Char"/>
          <w:rFonts w:ascii="Times New Roman" w:hAnsi="Times New Roman" w:cs="Times New Roman"/>
        </w:rPr>
        <w:br/>
        <w:t>BUS 225W</w:t>
      </w:r>
      <w:r w:rsidR="00346418" w:rsidRPr="008D50B3">
        <w:rPr>
          <w:rStyle w:val="Heading2Char"/>
          <w:rFonts w:ascii="Times New Roman" w:hAnsi="Times New Roman" w:cs="Times New Roman"/>
        </w:rPr>
        <w:br/>
        <w:t xml:space="preserve">Introduction to </w:t>
      </w:r>
      <w:r w:rsidR="00BA3B11">
        <w:rPr>
          <w:rStyle w:val="Heading2Char"/>
          <w:rFonts w:ascii="Times New Roman" w:hAnsi="Times New Roman" w:cs="Times New Roman"/>
        </w:rPr>
        <w:t>International Taxation</w:t>
      </w:r>
      <w:r w:rsidR="00BA3B11">
        <w:rPr>
          <w:rStyle w:val="Heading2Char"/>
          <w:rFonts w:ascii="Times New Roman" w:hAnsi="Times New Roman" w:cs="Times New Roman"/>
        </w:rPr>
        <w:br/>
      </w:r>
      <w:r w:rsidR="001D7DBF">
        <w:rPr>
          <w:rStyle w:val="Heading2Char"/>
          <w:rFonts w:ascii="Times New Roman" w:hAnsi="Times New Roman" w:cs="Times New Roman"/>
        </w:rPr>
        <w:t>Late Spring 2016</w:t>
      </w:r>
    </w:p>
    <w:tbl>
      <w:tblPr>
        <w:tblW w:w="96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3168"/>
        <w:gridCol w:w="6480"/>
      </w:tblGrid>
      <w:tr w:rsidR="00503E2E" w:rsidRPr="008D50B3" w:rsidTr="00E42C9A">
        <w:tc>
          <w:tcPr>
            <w:tcW w:w="3168" w:type="dxa"/>
            <w:shd w:val="clear" w:color="auto" w:fill="auto"/>
          </w:tcPr>
          <w:p w:rsidR="00503E2E" w:rsidRPr="008D50B3" w:rsidRDefault="00503E2E" w:rsidP="00E42C9A">
            <w:pPr>
              <w:pStyle w:val="contactheading"/>
              <w:spacing w:before="0"/>
              <w:rPr>
                <w:rFonts w:cs="Times New Roman"/>
              </w:rPr>
            </w:pPr>
            <w:r w:rsidRPr="008D50B3">
              <w:rPr>
                <w:rFonts w:cs="Times New Roman"/>
              </w:rPr>
              <w:t>Instructor:</w:t>
            </w:r>
            <w:r w:rsidR="00346418" w:rsidRPr="008D50B3">
              <w:rPr>
                <w:rFonts w:cs="Times New Roman"/>
              </w:rPr>
              <w:t xml:space="preserve"> </w:t>
            </w:r>
          </w:p>
        </w:tc>
        <w:tc>
          <w:tcPr>
            <w:tcW w:w="6480" w:type="dxa"/>
            <w:shd w:val="clear" w:color="auto" w:fill="auto"/>
          </w:tcPr>
          <w:p w:rsidR="00503E2E" w:rsidRPr="008D50B3" w:rsidRDefault="00346418" w:rsidP="00346418">
            <w:pPr>
              <w:rPr>
                <w:i/>
                <w:iCs/>
              </w:rPr>
            </w:pPr>
            <w:r w:rsidRPr="008D50B3">
              <w:rPr>
                <w:i/>
                <w:iCs/>
              </w:rPr>
              <w:t>William Skinner</w:t>
            </w:r>
          </w:p>
        </w:tc>
      </w:tr>
      <w:tr w:rsidR="00503E2E" w:rsidRPr="008D50B3" w:rsidTr="00E42C9A">
        <w:tc>
          <w:tcPr>
            <w:tcW w:w="3168" w:type="dxa"/>
            <w:shd w:val="clear" w:color="auto" w:fill="auto"/>
          </w:tcPr>
          <w:p w:rsidR="00503E2E" w:rsidRPr="008D50B3" w:rsidRDefault="00503E2E" w:rsidP="00E42C9A">
            <w:pPr>
              <w:pStyle w:val="contactheading"/>
              <w:spacing w:before="0"/>
              <w:rPr>
                <w:rFonts w:cs="Times New Roman"/>
              </w:rPr>
            </w:pPr>
            <w:r w:rsidRPr="008D50B3">
              <w:rPr>
                <w:rFonts w:cs="Times New Roman"/>
              </w:rPr>
              <w:t>Office Location:</w:t>
            </w:r>
            <w:r w:rsidR="00346418" w:rsidRPr="008D50B3">
              <w:rPr>
                <w:rFonts w:cs="Times New Roman"/>
              </w:rPr>
              <w:t xml:space="preserve"> </w:t>
            </w:r>
          </w:p>
        </w:tc>
        <w:tc>
          <w:tcPr>
            <w:tcW w:w="6480" w:type="dxa"/>
            <w:shd w:val="clear" w:color="auto" w:fill="auto"/>
          </w:tcPr>
          <w:p w:rsidR="00503E2E" w:rsidRPr="008D50B3" w:rsidRDefault="00346418" w:rsidP="00346418">
            <w:pPr>
              <w:rPr>
                <w:i/>
                <w:iCs/>
              </w:rPr>
            </w:pPr>
            <w:r w:rsidRPr="008D50B3">
              <w:rPr>
                <w:iCs/>
              </w:rPr>
              <w:t>Lucas School Silicon Valley Site</w:t>
            </w:r>
          </w:p>
        </w:tc>
      </w:tr>
      <w:tr w:rsidR="00503E2E" w:rsidRPr="008D50B3" w:rsidTr="00E42C9A">
        <w:tc>
          <w:tcPr>
            <w:tcW w:w="3168" w:type="dxa"/>
            <w:shd w:val="clear" w:color="auto" w:fill="auto"/>
          </w:tcPr>
          <w:p w:rsidR="00503E2E" w:rsidRPr="008D50B3" w:rsidRDefault="00503E2E" w:rsidP="00E42C9A">
            <w:pPr>
              <w:pStyle w:val="contactheading"/>
              <w:spacing w:before="0"/>
              <w:rPr>
                <w:rFonts w:cs="Times New Roman"/>
              </w:rPr>
            </w:pPr>
            <w:r w:rsidRPr="008D50B3">
              <w:rPr>
                <w:rFonts w:cs="Times New Roman"/>
              </w:rPr>
              <w:t>Telephone:</w:t>
            </w:r>
          </w:p>
        </w:tc>
        <w:tc>
          <w:tcPr>
            <w:tcW w:w="6480" w:type="dxa"/>
            <w:shd w:val="clear" w:color="auto" w:fill="auto"/>
          </w:tcPr>
          <w:p w:rsidR="00503E2E" w:rsidRPr="008D50B3" w:rsidRDefault="00346418" w:rsidP="00346418">
            <w:pPr>
              <w:rPr>
                <w:i/>
                <w:iCs/>
              </w:rPr>
            </w:pPr>
            <w:r w:rsidRPr="008D50B3">
              <w:rPr>
                <w:i/>
                <w:iCs/>
              </w:rPr>
              <w:t>650.335.7669</w:t>
            </w:r>
          </w:p>
        </w:tc>
      </w:tr>
      <w:tr w:rsidR="00503E2E" w:rsidRPr="008D50B3" w:rsidTr="00E42C9A">
        <w:tc>
          <w:tcPr>
            <w:tcW w:w="3168" w:type="dxa"/>
            <w:shd w:val="clear" w:color="auto" w:fill="auto"/>
          </w:tcPr>
          <w:p w:rsidR="00503E2E" w:rsidRPr="008D50B3" w:rsidRDefault="00503E2E" w:rsidP="00E42C9A">
            <w:pPr>
              <w:pStyle w:val="contactheading"/>
              <w:spacing w:before="0"/>
              <w:rPr>
                <w:rFonts w:cs="Times New Roman"/>
              </w:rPr>
            </w:pPr>
            <w:r w:rsidRPr="008D50B3">
              <w:rPr>
                <w:rFonts w:cs="Times New Roman"/>
              </w:rPr>
              <w:t>Email:</w:t>
            </w:r>
          </w:p>
        </w:tc>
        <w:tc>
          <w:tcPr>
            <w:tcW w:w="6480" w:type="dxa"/>
            <w:shd w:val="clear" w:color="auto" w:fill="auto"/>
          </w:tcPr>
          <w:p w:rsidR="00503E2E" w:rsidRPr="008D50B3" w:rsidRDefault="00346418" w:rsidP="00346418">
            <w:pPr>
              <w:rPr>
                <w:i/>
                <w:iCs/>
              </w:rPr>
            </w:pPr>
            <w:hyperlink r:id="rId8" w:history="1">
              <w:r w:rsidRPr="008D50B3">
                <w:rPr>
                  <w:rStyle w:val="Hyperlink"/>
                  <w:i/>
                  <w:iCs/>
                </w:rPr>
                <w:t>wrskinner@fenwick.com</w:t>
              </w:r>
            </w:hyperlink>
          </w:p>
        </w:tc>
      </w:tr>
      <w:tr w:rsidR="00503E2E" w:rsidRPr="008D50B3" w:rsidTr="00E42C9A">
        <w:tc>
          <w:tcPr>
            <w:tcW w:w="3168" w:type="dxa"/>
            <w:shd w:val="clear" w:color="auto" w:fill="auto"/>
          </w:tcPr>
          <w:p w:rsidR="00503E2E" w:rsidRPr="008D50B3" w:rsidRDefault="00503E2E" w:rsidP="00E42C9A">
            <w:pPr>
              <w:pStyle w:val="contactheading"/>
              <w:spacing w:before="0"/>
              <w:rPr>
                <w:rFonts w:cs="Times New Roman"/>
              </w:rPr>
            </w:pPr>
            <w:r w:rsidRPr="008D50B3">
              <w:rPr>
                <w:rFonts w:cs="Times New Roman"/>
              </w:rPr>
              <w:t>Office Hours:</w:t>
            </w:r>
          </w:p>
        </w:tc>
        <w:tc>
          <w:tcPr>
            <w:tcW w:w="6480" w:type="dxa"/>
            <w:shd w:val="clear" w:color="auto" w:fill="auto"/>
          </w:tcPr>
          <w:p w:rsidR="00503E2E" w:rsidRPr="008D50B3" w:rsidRDefault="00346418" w:rsidP="00476275">
            <w:pPr>
              <w:rPr>
                <w:i/>
                <w:iCs/>
              </w:rPr>
            </w:pPr>
            <w:r w:rsidRPr="008D50B3">
              <w:rPr>
                <w:i/>
                <w:iCs/>
              </w:rPr>
              <w:t>20 minutes before and after class + by appointment</w:t>
            </w:r>
            <w:r w:rsidR="00476275">
              <w:rPr>
                <w:i/>
                <w:iCs/>
              </w:rPr>
              <w:t>.  Also, please feel free to email me with any questions at any time.</w:t>
            </w:r>
          </w:p>
        </w:tc>
      </w:tr>
      <w:tr w:rsidR="00503E2E" w:rsidRPr="008D50B3" w:rsidTr="00E42C9A">
        <w:tc>
          <w:tcPr>
            <w:tcW w:w="3168" w:type="dxa"/>
            <w:shd w:val="clear" w:color="auto" w:fill="auto"/>
          </w:tcPr>
          <w:p w:rsidR="00503E2E" w:rsidRPr="008D50B3" w:rsidRDefault="00503E2E" w:rsidP="00E42C9A">
            <w:pPr>
              <w:pStyle w:val="contactheading"/>
              <w:spacing w:before="0"/>
              <w:rPr>
                <w:rFonts w:cs="Times New Roman"/>
              </w:rPr>
            </w:pPr>
            <w:r w:rsidRPr="008D50B3">
              <w:rPr>
                <w:rFonts w:cs="Times New Roman"/>
              </w:rPr>
              <w:t>Class Days/Time:</w:t>
            </w:r>
          </w:p>
        </w:tc>
        <w:tc>
          <w:tcPr>
            <w:tcW w:w="6480" w:type="dxa"/>
            <w:shd w:val="clear" w:color="auto" w:fill="auto"/>
          </w:tcPr>
          <w:p w:rsidR="00503E2E" w:rsidRPr="008D50B3" w:rsidRDefault="001D7DBF" w:rsidP="00346418">
            <w:pPr>
              <w:rPr>
                <w:i/>
                <w:iCs/>
              </w:rPr>
            </w:pPr>
            <w:r>
              <w:rPr>
                <w:i/>
                <w:iCs/>
              </w:rPr>
              <w:t>Tues</w:t>
            </w:r>
            <w:r w:rsidR="00346418" w:rsidRPr="008D50B3">
              <w:rPr>
                <w:i/>
                <w:iCs/>
              </w:rPr>
              <w:t>days    6 pm – 10 pm</w:t>
            </w:r>
            <w:r w:rsidR="006C7958">
              <w:rPr>
                <w:i/>
                <w:iCs/>
              </w:rPr>
              <w:t xml:space="preserve">, Plus One Saturday </w:t>
            </w:r>
            <w:r>
              <w:rPr>
                <w:i/>
                <w:iCs/>
              </w:rPr>
              <w:t>4/30/2016</w:t>
            </w:r>
            <w:r w:rsidR="006C7958">
              <w:rPr>
                <w:i/>
                <w:iCs/>
              </w:rPr>
              <w:t xml:space="preserve"> from 9 am – </w:t>
            </w:r>
            <w:r>
              <w:rPr>
                <w:i/>
                <w:iCs/>
              </w:rPr>
              <w:t>5:30</w:t>
            </w:r>
            <w:r w:rsidR="006C7958">
              <w:rPr>
                <w:i/>
                <w:iCs/>
              </w:rPr>
              <w:t xml:space="preserve"> pm</w:t>
            </w:r>
          </w:p>
          <w:p w:rsidR="000E783E" w:rsidRPr="008D50B3" w:rsidRDefault="000E783E" w:rsidP="00E42C9A">
            <w:pPr>
              <w:pStyle w:val="normalplus"/>
              <w:jc w:val="left"/>
              <w:rPr>
                <w:rFonts w:ascii="Times New Roman" w:hAnsi="Times New Roman"/>
                <w:i/>
                <w:iCs/>
                <w:sz w:val="22"/>
              </w:rPr>
            </w:pPr>
            <w:r w:rsidRPr="008D50B3">
              <w:rPr>
                <w:rFonts w:ascii="Times New Roman" w:hAnsi="Times New Roman"/>
                <w:i/>
                <w:iCs/>
                <w:sz w:val="22"/>
              </w:rPr>
              <w:t xml:space="preserve">Lucas Business Complex </w:t>
            </w:r>
          </w:p>
          <w:p w:rsidR="000E783E" w:rsidRPr="008D50B3" w:rsidRDefault="000E783E" w:rsidP="00E42C9A">
            <w:pPr>
              <w:pStyle w:val="normalplus"/>
              <w:jc w:val="left"/>
              <w:rPr>
                <w:rFonts w:ascii="Times New Roman" w:hAnsi="Times New Roman"/>
                <w:i/>
                <w:iCs/>
                <w:sz w:val="22"/>
              </w:rPr>
            </w:pPr>
            <w:r w:rsidRPr="008D50B3">
              <w:rPr>
                <w:rFonts w:ascii="Times New Roman" w:hAnsi="Times New Roman"/>
                <w:i/>
                <w:iCs/>
                <w:sz w:val="22"/>
              </w:rPr>
              <w:t>2933 Bunker Hill Suite 120</w:t>
            </w:r>
          </w:p>
          <w:p w:rsidR="000E783E" w:rsidRPr="008D50B3" w:rsidRDefault="000E783E" w:rsidP="000E783E">
            <w:pPr>
              <w:rPr>
                <w:i/>
                <w:iCs/>
              </w:rPr>
            </w:pPr>
            <w:r w:rsidRPr="008D50B3">
              <w:rPr>
                <w:i/>
                <w:iCs/>
                <w:sz w:val="22"/>
              </w:rPr>
              <w:t>Santa Clara CA 95054</w:t>
            </w:r>
          </w:p>
        </w:tc>
      </w:tr>
      <w:tr w:rsidR="00503E2E" w:rsidRPr="008D50B3" w:rsidTr="00E42C9A">
        <w:tc>
          <w:tcPr>
            <w:tcW w:w="3168" w:type="dxa"/>
            <w:shd w:val="clear" w:color="auto" w:fill="auto"/>
          </w:tcPr>
          <w:p w:rsidR="00503E2E" w:rsidRPr="008D50B3" w:rsidRDefault="00346418" w:rsidP="00E42C9A">
            <w:pPr>
              <w:pStyle w:val="contactheading"/>
              <w:spacing w:before="0"/>
              <w:rPr>
                <w:rFonts w:cs="Times New Roman"/>
              </w:rPr>
            </w:pPr>
            <w:r w:rsidRPr="008D50B3">
              <w:rPr>
                <w:rFonts w:cs="Times New Roman"/>
              </w:rPr>
              <w:t>Prerequisite</w:t>
            </w:r>
            <w:r w:rsidR="00503E2E" w:rsidRPr="008D50B3">
              <w:rPr>
                <w:rFonts w:cs="Times New Roman"/>
              </w:rPr>
              <w:t>:</w:t>
            </w:r>
          </w:p>
        </w:tc>
        <w:tc>
          <w:tcPr>
            <w:tcW w:w="6480" w:type="dxa"/>
            <w:shd w:val="clear" w:color="auto" w:fill="auto"/>
          </w:tcPr>
          <w:p w:rsidR="00503E2E" w:rsidRPr="008D50B3" w:rsidRDefault="00346418" w:rsidP="00346418">
            <w:pPr>
              <w:rPr>
                <w:i/>
                <w:iCs/>
              </w:rPr>
            </w:pPr>
            <w:r w:rsidRPr="008D50B3">
              <w:rPr>
                <w:i/>
                <w:iCs/>
              </w:rPr>
              <w:t>BUS 223A</w:t>
            </w:r>
          </w:p>
        </w:tc>
      </w:tr>
      <w:tr w:rsidR="00346418" w:rsidRPr="008D50B3" w:rsidTr="00E42C9A">
        <w:tc>
          <w:tcPr>
            <w:tcW w:w="3168" w:type="dxa"/>
            <w:shd w:val="clear" w:color="auto" w:fill="auto"/>
          </w:tcPr>
          <w:p w:rsidR="00346418" w:rsidRPr="008D50B3" w:rsidRDefault="00346418" w:rsidP="00E42C9A">
            <w:pPr>
              <w:pStyle w:val="contactheading"/>
              <w:spacing w:before="0"/>
              <w:rPr>
                <w:rFonts w:cs="Times New Roman"/>
                <w:i/>
                <w:iCs w:val="0"/>
              </w:rPr>
            </w:pPr>
            <w:r w:rsidRPr="008D50B3">
              <w:rPr>
                <w:rFonts w:cs="Times New Roman"/>
                <w:i/>
                <w:iCs w:val="0"/>
              </w:rPr>
              <w:t>Co-requisite:</w:t>
            </w:r>
          </w:p>
        </w:tc>
        <w:tc>
          <w:tcPr>
            <w:tcW w:w="6480" w:type="dxa"/>
            <w:shd w:val="clear" w:color="auto" w:fill="auto"/>
          </w:tcPr>
          <w:p w:rsidR="00346418" w:rsidRPr="008D50B3" w:rsidRDefault="00346418" w:rsidP="00346418">
            <w:pPr>
              <w:rPr>
                <w:i/>
                <w:iCs/>
              </w:rPr>
            </w:pPr>
            <w:r w:rsidRPr="008D50B3">
              <w:rPr>
                <w:i/>
                <w:iCs/>
              </w:rPr>
              <w:t>BUS 223G</w:t>
            </w:r>
          </w:p>
        </w:tc>
      </w:tr>
    </w:tbl>
    <w:p w:rsidR="00503E2E" w:rsidRPr="008D50B3" w:rsidRDefault="00503E2E" w:rsidP="00503E2E">
      <w:pPr>
        <w:pStyle w:val="Heading2"/>
        <w:rPr>
          <w:rFonts w:ascii="Times New Roman" w:hAnsi="Times New Roman" w:cs="Times New Roman"/>
        </w:rPr>
      </w:pPr>
      <w:r w:rsidRPr="008D50B3">
        <w:rPr>
          <w:rFonts w:ascii="Times New Roman" w:hAnsi="Times New Roman" w:cs="Times New Roman"/>
        </w:rPr>
        <w:t xml:space="preserve">Course Description </w:t>
      </w:r>
    </w:p>
    <w:p w:rsidR="00503E2E" w:rsidRPr="008D50B3" w:rsidRDefault="000E783E" w:rsidP="00503E2E">
      <w:proofErr w:type="gramStart"/>
      <w:r w:rsidRPr="008D50B3">
        <w:t xml:space="preserve">Introduction to the structure, basic rules, and policies of </w:t>
      </w:r>
      <w:r w:rsidR="00C57A6E">
        <w:t xml:space="preserve">U.S. </w:t>
      </w:r>
      <w:r w:rsidRPr="008D50B3">
        <w:t>federal income tax</w:t>
      </w:r>
      <w:r w:rsidR="00C57A6E">
        <w:t>ation of foreign persons and cross-border taxation.</w:t>
      </w:r>
      <w:proofErr w:type="gramEnd"/>
      <w:r w:rsidR="00C57A6E">
        <w:t xml:space="preserve">  </w:t>
      </w:r>
      <w:r w:rsidRPr="008D50B3">
        <w:t>To</w:t>
      </w:r>
      <w:r w:rsidR="00C57A6E">
        <w:t>pics include residency, source of income</w:t>
      </w:r>
      <w:r w:rsidRPr="008D50B3">
        <w:t>,</w:t>
      </w:r>
      <w:r w:rsidR="00C57A6E">
        <w:t xml:space="preserve"> U.S. </w:t>
      </w:r>
      <w:proofErr w:type="gramStart"/>
      <w:r w:rsidR="00C57A6E">
        <w:t>taxation</w:t>
      </w:r>
      <w:proofErr w:type="gramEnd"/>
      <w:r w:rsidR="00C57A6E">
        <w:t xml:space="preserve"> of foreign persons,</w:t>
      </w:r>
      <w:r w:rsidRPr="008D50B3">
        <w:t xml:space="preserve"> tax treaties, </w:t>
      </w:r>
      <w:r w:rsidR="00C57A6E" w:rsidRPr="008D50B3">
        <w:t xml:space="preserve">transfer </w:t>
      </w:r>
      <w:r w:rsidR="00C57A6E">
        <w:t xml:space="preserve">pricing, the </w:t>
      </w:r>
      <w:r w:rsidRPr="008D50B3">
        <w:t>foreign tax credit, and</w:t>
      </w:r>
      <w:r w:rsidR="00C57A6E">
        <w:t xml:space="preserve"> controlled foreign corporations</w:t>
      </w:r>
      <w:r w:rsidRPr="008D50B3">
        <w:t>.</w:t>
      </w:r>
    </w:p>
    <w:p w:rsidR="00503E2E" w:rsidRPr="008D50B3" w:rsidRDefault="00503E2E" w:rsidP="00503E2E">
      <w:pPr>
        <w:pStyle w:val="Heading2"/>
        <w:rPr>
          <w:rFonts w:ascii="Times New Roman" w:hAnsi="Times New Roman" w:cs="Times New Roman"/>
        </w:rPr>
      </w:pPr>
      <w:r w:rsidRPr="008D50B3">
        <w:rPr>
          <w:rFonts w:ascii="Times New Roman" w:hAnsi="Times New Roman" w:cs="Times New Roman"/>
        </w:rPr>
        <w:t>Student Learning Objectives</w:t>
      </w:r>
    </w:p>
    <w:p w:rsidR="004E5809" w:rsidRPr="008D50B3" w:rsidRDefault="004E5809" w:rsidP="00E42C9A">
      <w:pPr>
        <w:numPr>
          <w:ilvl w:val="0"/>
          <w:numId w:val="3"/>
        </w:numPr>
      </w:pPr>
      <w:r w:rsidRPr="008D50B3">
        <w:t>Understand the statutory framework of the international provisions of the Internal Revenue Code.</w:t>
      </w:r>
    </w:p>
    <w:p w:rsidR="00C57A6E" w:rsidRDefault="009B4332" w:rsidP="00E42C9A">
      <w:pPr>
        <w:numPr>
          <w:ilvl w:val="0"/>
          <w:numId w:val="3"/>
        </w:numPr>
      </w:pPr>
      <w:r w:rsidRPr="008D50B3">
        <w:t xml:space="preserve">Be able to identify the primary federal income rules that apply to international transactions of domestic </w:t>
      </w:r>
      <w:r w:rsidR="00C57A6E">
        <w:t xml:space="preserve">taxpayers and how the U.S. tax rules avoid double taxation of foreign income.  </w:t>
      </w:r>
    </w:p>
    <w:p w:rsidR="00F94FBA" w:rsidRDefault="00F94FBA" w:rsidP="00E42C9A">
      <w:pPr>
        <w:numPr>
          <w:ilvl w:val="0"/>
          <w:numId w:val="3"/>
        </w:numPr>
      </w:pPr>
      <w:r>
        <w:t>Understand deferral and the treatment of foreign subsidiaries of a US corporation.</w:t>
      </w:r>
    </w:p>
    <w:p w:rsidR="00F94FBA" w:rsidRDefault="00F94FBA" w:rsidP="00E42C9A">
      <w:pPr>
        <w:numPr>
          <w:ilvl w:val="0"/>
          <w:numId w:val="3"/>
        </w:numPr>
      </w:pPr>
      <w:r>
        <w:t xml:space="preserve">Apply transfer pricing concepts and source of income rules to determine the jurisdiction where income is deemed to arise for US international tax purposes. </w:t>
      </w:r>
    </w:p>
    <w:p w:rsidR="00C57A6E" w:rsidRDefault="00C57A6E" w:rsidP="00E42C9A">
      <w:pPr>
        <w:numPr>
          <w:ilvl w:val="0"/>
          <w:numId w:val="3"/>
        </w:numPr>
      </w:pPr>
      <w:r>
        <w:lastRenderedPageBreak/>
        <w:t xml:space="preserve">Understand the U.S. tax reporting obligations of foreign persons with income or activities within the United States.  </w:t>
      </w:r>
    </w:p>
    <w:p w:rsidR="009B4332" w:rsidRDefault="009B4332" w:rsidP="00E42C9A">
      <w:pPr>
        <w:numPr>
          <w:ilvl w:val="0"/>
          <w:numId w:val="3"/>
        </w:numPr>
      </w:pPr>
      <w:r w:rsidRPr="008D50B3">
        <w:t xml:space="preserve">Be able to explain </w:t>
      </w:r>
      <w:r w:rsidR="004E5809" w:rsidRPr="008D50B3">
        <w:t xml:space="preserve">and apply </w:t>
      </w:r>
      <w:r w:rsidRPr="008D50B3">
        <w:t>common federal income tax rules such as residency, sourcing, foreign tax credit, permanent establishment</w:t>
      </w:r>
      <w:r w:rsidR="004E5809" w:rsidRPr="008D50B3">
        <w:t>, and transfer pricing.</w:t>
      </w:r>
    </w:p>
    <w:p w:rsidR="00A03F7D" w:rsidRPr="008D50B3" w:rsidRDefault="00A03F7D" w:rsidP="00E42C9A">
      <w:pPr>
        <w:numPr>
          <w:ilvl w:val="0"/>
          <w:numId w:val="3"/>
        </w:numPr>
      </w:pPr>
      <w:r>
        <w:t xml:space="preserve">Be able to relate key rules and concepts to U.S. tax compliance obligations associated with international operations. </w:t>
      </w:r>
    </w:p>
    <w:p w:rsidR="004E5809" w:rsidRDefault="004E5809" w:rsidP="00E42C9A">
      <w:pPr>
        <w:numPr>
          <w:ilvl w:val="0"/>
          <w:numId w:val="3"/>
        </w:numPr>
      </w:pPr>
      <w:r w:rsidRPr="008D50B3">
        <w:t>Be familiar with proposals for changing the U.S. international tax rules.</w:t>
      </w:r>
    </w:p>
    <w:p w:rsidR="00503E2E" w:rsidRPr="008D50B3" w:rsidRDefault="00503E2E" w:rsidP="00503E2E">
      <w:pPr>
        <w:pStyle w:val="Heading2"/>
        <w:rPr>
          <w:rFonts w:ascii="Times New Roman" w:hAnsi="Times New Roman" w:cs="Times New Roman"/>
        </w:rPr>
      </w:pPr>
      <w:r w:rsidRPr="008D50B3">
        <w:rPr>
          <w:rFonts w:ascii="Times New Roman" w:hAnsi="Times New Roman" w:cs="Times New Roman"/>
        </w:rPr>
        <w:t xml:space="preserve">Required Texts/Readings </w:t>
      </w:r>
    </w:p>
    <w:p w:rsidR="00503E2E" w:rsidRPr="008D50B3" w:rsidRDefault="00503E2E" w:rsidP="00503E2E">
      <w:pPr>
        <w:pStyle w:val="Heading3"/>
      </w:pPr>
      <w:r w:rsidRPr="008D50B3">
        <w:t>Textbook</w:t>
      </w:r>
      <w:r w:rsidR="0029128A">
        <w:t>s</w:t>
      </w:r>
    </w:p>
    <w:p w:rsidR="002D5D32" w:rsidRDefault="00CB5A11" w:rsidP="002D5D32">
      <w:pPr>
        <w:pStyle w:val="ListParagraph"/>
        <w:numPr>
          <w:ilvl w:val="0"/>
          <w:numId w:val="5"/>
        </w:numPr>
        <w:shd w:val="clear" w:color="auto" w:fill="FFFFFF"/>
        <w:spacing w:after="120"/>
        <w:rPr>
          <w:rFonts w:ascii="Times New Roman" w:eastAsia="Times New Roman" w:hAnsi="Times New Roman"/>
          <w:bCs/>
          <w:color w:val="000000"/>
        </w:rPr>
      </w:pPr>
      <w:r w:rsidRPr="004A4CE5">
        <w:rPr>
          <w:rFonts w:ascii="Times New Roman" w:hAnsi="Times New Roman"/>
        </w:rPr>
        <w:t>BNA</w:t>
      </w:r>
      <w:r w:rsidRPr="004A4CE5">
        <w:rPr>
          <w:rFonts w:ascii="Times New Roman" w:hAnsi="Times New Roman"/>
          <w:i/>
        </w:rPr>
        <w:t xml:space="preserve"> </w:t>
      </w:r>
      <w:r w:rsidRPr="004A4CE5">
        <w:rPr>
          <w:rFonts w:ascii="Times New Roman" w:eastAsia="Times New Roman" w:hAnsi="Times New Roman"/>
          <w:bCs/>
          <w:color w:val="000000"/>
        </w:rPr>
        <w:t xml:space="preserve">Portfolio 900-2nd: </w:t>
      </w:r>
      <w:r w:rsidRPr="004A4CE5">
        <w:rPr>
          <w:rFonts w:ascii="Times New Roman" w:eastAsia="Times New Roman" w:hAnsi="Times New Roman"/>
          <w:bCs/>
          <w:i/>
          <w:color w:val="000000"/>
        </w:rPr>
        <w:t>Foundations of U.S. International Taxation</w:t>
      </w:r>
      <w:r w:rsidRPr="004A4CE5">
        <w:rPr>
          <w:rFonts w:ascii="Times New Roman" w:eastAsia="Times New Roman" w:hAnsi="Times New Roman"/>
          <w:bCs/>
          <w:color w:val="000000"/>
        </w:rPr>
        <w:t xml:space="preserve"> (available on the King Library database for MST students)</w:t>
      </w:r>
      <w:r w:rsidR="003630C8" w:rsidRPr="004A4CE5">
        <w:rPr>
          <w:rFonts w:ascii="Times New Roman" w:eastAsia="Times New Roman" w:hAnsi="Times New Roman"/>
          <w:bCs/>
          <w:color w:val="000000"/>
        </w:rPr>
        <w:t xml:space="preserve"> [</w:t>
      </w:r>
      <w:r w:rsidR="004671D2">
        <w:rPr>
          <w:rFonts w:ascii="Times New Roman" w:eastAsia="Times New Roman" w:hAnsi="Times New Roman"/>
          <w:bCs/>
          <w:color w:val="000000"/>
        </w:rPr>
        <w:t>hereinafter, “</w:t>
      </w:r>
      <w:r w:rsidR="003630C8" w:rsidRPr="00D1673F">
        <w:rPr>
          <w:rFonts w:ascii="Times New Roman" w:eastAsia="Times New Roman" w:hAnsi="Times New Roman"/>
          <w:b/>
          <w:bCs/>
          <w:color w:val="000000"/>
        </w:rPr>
        <w:t>BNA</w:t>
      </w:r>
      <w:r w:rsidR="004671D2" w:rsidRPr="00D1673F">
        <w:rPr>
          <w:rFonts w:ascii="Times New Roman" w:eastAsia="Times New Roman" w:hAnsi="Times New Roman"/>
          <w:b/>
          <w:bCs/>
          <w:color w:val="000000"/>
        </w:rPr>
        <w:t xml:space="preserve"> – Foundations</w:t>
      </w:r>
      <w:r w:rsidR="004671D2">
        <w:rPr>
          <w:rFonts w:ascii="Times New Roman" w:eastAsia="Times New Roman" w:hAnsi="Times New Roman"/>
          <w:bCs/>
          <w:color w:val="000000"/>
        </w:rPr>
        <w:t>”</w:t>
      </w:r>
      <w:r w:rsidR="003630C8" w:rsidRPr="004A4CE5">
        <w:rPr>
          <w:rFonts w:ascii="Times New Roman" w:eastAsia="Times New Roman" w:hAnsi="Times New Roman"/>
          <w:bCs/>
          <w:color w:val="000000"/>
        </w:rPr>
        <w:t>]</w:t>
      </w:r>
    </w:p>
    <w:p w:rsidR="004A4CE5" w:rsidRPr="004A4CE5" w:rsidRDefault="004A4CE5" w:rsidP="004A4CE5">
      <w:pPr>
        <w:pStyle w:val="ListParagraph"/>
        <w:shd w:val="clear" w:color="auto" w:fill="FFFFFF"/>
        <w:spacing w:after="120"/>
        <w:rPr>
          <w:rFonts w:ascii="Times New Roman" w:eastAsia="Times New Roman" w:hAnsi="Times New Roman"/>
          <w:bCs/>
          <w:color w:val="000000"/>
        </w:rPr>
      </w:pPr>
    </w:p>
    <w:p w:rsidR="004671D2" w:rsidRDefault="004671D2" w:rsidP="00E42C9A">
      <w:pPr>
        <w:pStyle w:val="ListParagraph"/>
        <w:numPr>
          <w:ilvl w:val="0"/>
          <w:numId w:val="5"/>
        </w:numPr>
        <w:shd w:val="clear" w:color="auto" w:fill="FFFFFF"/>
        <w:spacing w:after="120"/>
        <w:rPr>
          <w:rFonts w:ascii="Times New Roman" w:eastAsia="Times New Roman" w:hAnsi="Times New Roman"/>
          <w:bCs/>
          <w:color w:val="000000"/>
        </w:rPr>
      </w:pPr>
      <w:r>
        <w:rPr>
          <w:rFonts w:ascii="Times New Roman" w:eastAsia="Times New Roman" w:hAnsi="Times New Roman"/>
          <w:bCs/>
          <w:color w:val="000000"/>
        </w:rPr>
        <w:t>Richard L. Doernberg, “International</w:t>
      </w:r>
      <w:r w:rsidR="001D7DBF">
        <w:rPr>
          <w:rFonts w:ascii="Times New Roman" w:eastAsia="Times New Roman" w:hAnsi="Times New Roman"/>
          <w:bCs/>
          <w:color w:val="000000"/>
        </w:rPr>
        <w:t xml:space="preserve"> Taxation in a Nutshell” (West 10</w:t>
      </w:r>
      <w:r w:rsidRPr="004671D2">
        <w:rPr>
          <w:rFonts w:ascii="Times New Roman" w:eastAsia="Times New Roman" w:hAnsi="Times New Roman"/>
          <w:bCs/>
          <w:color w:val="000000"/>
          <w:vertAlign w:val="superscript"/>
        </w:rPr>
        <w:t>th</w:t>
      </w:r>
      <w:r>
        <w:rPr>
          <w:rFonts w:ascii="Times New Roman" w:eastAsia="Times New Roman" w:hAnsi="Times New Roman"/>
          <w:bCs/>
          <w:color w:val="000000"/>
        </w:rPr>
        <w:t xml:space="preserve"> Ed. 201</w:t>
      </w:r>
      <w:r w:rsidR="001D7DBF">
        <w:rPr>
          <w:rFonts w:ascii="Times New Roman" w:eastAsia="Times New Roman" w:hAnsi="Times New Roman"/>
          <w:bCs/>
          <w:color w:val="000000"/>
        </w:rPr>
        <w:t>6</w:t>
      </w:r>
      <w:r>
        <w:rPr>
          <w:rFonts w:ascii="Times New Roman" w:eastAsia="Times New Roman" w:hAnsi="Times New Roman"/>
          <w:bCs/>
          <w:color w:val="000000"/>
        </w:rPr>
        <w:t>) [hereinafter, “</w:t>
      </w:r>
      <w:r w:rsidRPr="00D1673F">
        <w:rPr>
          <w:rFonts w:ascii="Times New Roman" w:eastAsia="Times New Roman" w:hAnsi="Times New Roman"/>
          <w:b/>
          <w:bCs/>
          <w:color w:val="000000"/>
        </w:rPr>
        <w:t>Nutshell</w:t>
      </w:r>
      <w:r>
        <w:rPr>
          <w:rFonts w:ascii="Times New Roman" w:eastAsia="Times New Roman" w:hAnsi="Times New Roman"/>
          <w:bCs/>
          <w:color w:val="000000"/>
        </w:rPr>
        <w:t>”</w:t>
      </w:r>
      <w:proofErr w:type="gramStart"/>
      <w:r>
        <w:rPr>
          <w:rFonts w:ascii="Times New Roman" w:eastAsia="Times New Roman" w:hAnsi="Times New Roman"/>
          <w:bCs/>
          <w:color w:val="000000"/>
        </w:rPr>
        <w:t>]</w:t>
      </w:r>
      <w:r w:rsidR="001D7DBF">
        <w:rPr>
          <w:rFonts w:ascii="Times New Roman" w:eastAsia="Times New Roman" w:hAnsi="Times New Roman"/>
          <w:bCs/>
          <w:color w:val="000000"/>
        </w:rPr>
        <w:t xml:space="preserve">  (</w:t>
      </w:r>
      <w:proofErr w:type="gramEnd"/>
      <w:r w:rsidR="001D7DBF">
        <w:rPr>
          <w:rFonts w:ascii="Times New Roman" w:eastAsia="Times New Roman" w:hAnsi="Times New Roman"/>
          <w:bCs/>
          <w:color w:val="000000"/>
        </w:rPr>
        <w:t>Alternatively, the Ninth Edition, Year 2012) might also be used.</w:t>
      </w:r>
    </w:p>
    <w:p w:rsidR="008B64D0" w:rsidRDefault="008B64D0" w:rsidP="008B64D0">
      <w:pPr>
        <w:pStyle w:val="ListParagraph"/>
        <w:rPr>
          <w:rFonts w:ascii="Times New Roman" w:eastAsia="Times New Roman" w:hAnsi="Times New Roman"/>
          <w:bCs/>
          <w:color w:val="000000"/>
        </w:rPr>
      </w:pPr>
    </w:p>
    <w:p w:rsidR="004671D2" w:rsidRPr="0022194D" w:rsidRDefault="00D1673F" w:rsidP="0022194D">
      <w:pPr>
        <w:pStyle w:val="ListParagraph"/>
        <w:numPr>
          <w:ilvl w:val="0"/>
          <w:numId w:val="5"/>
        </w:numPr>
        <w:shd w:val="clear" w:color="auto" w:fill="FFFFFF"/>
        <w:spacing w:after="120"/>
        <w:rPr>
          <w:rFonts w:ascii="Times New Roman" w:eastAsia="Times New Roman" w:hAnsi="Times New Roman"/>
          <w:bCs/>
          <w:color w:val="000000"/>
        </w:rPr>
      </w:pPr>
      <w:r>
        <w:rPr>
          <w:rFonts w:ascii="Times New Roman" w:eastAsia="Times New Roman" w:hAnsi="Times New Roman"/>
          <w:bCs/>
          <w:color w:val="000000"/>
          <w:u w:val="single"/>
        </w:rPr>
        <w:t>Optional Additional Text for your convenience</w:t>
      </w:r>
      <w:r w:rsidR="00DC5D53">
        <w:rPr>
          <w:rFonts w:ascii="Times New Roman" w:eastAsia="Times New Roman" w:hAnsi="Times New Roman"/>
          <w:bCs/>
          <w:color w:val="000000"/>
        </w:rPr>
        <w:t xml:space="preserve"> - </w:t>
      </w:r>
      <w:r w:rsidR="008B64D0">
        <w:rPr>
          <w:rFonts w:ascii="Times New Roman" w:eastAsia="Times New Roman" w:hAnsi="Times New Roman"/>
          <w:bCs/>
          <w:color w:val="000000"/>
        </w:rPr>
        <w:t xml:space="preserve">International Income Taxation: Code and Regulations Selected Sections (Editors Pugh, Peroni and Gustafson – </w:t>
      </w:r>
      <w:r w:rsidR="0022194D">
        <w:rPr>
          <w:rFonts w:ascii="Times New Roman" w:eastAsia="Times New Roman" w:hAnsi="Times New Roman"/>
          <w:bCs/>
          <w:color w:val="000000"/>
        </w:rPr>
        <w:t>CCH / Wolters Kluwer</w:t>
      </w:r>
      <w:r w:rsidR="008B64D0">
        <w:rPr>
          <w:rFonts w:ascii="Times New Roman" w:eastAsia="Times New Roman" w:hAnsi="Times New Roman"/>
          <w:bCs/>
          <w:color w:val="000000"/>
        </w:rPr>
        <w:t>)</w:t>
      </w:r>
      <w:r w:rsidR="0022194D">
        <w:rPr>
          <w:rFonts w:ascii="Times New Roman" w:eastAsia="Times New Roman" w:hAnsi="Times New Roman"/>
          <w:bCs/>
          <w:color w:val="000000"/>
        </w:rPr>
        <w:t xml:space="preserve"> – </w:t>
      </w:r>
      <w:r>
        <w:rPr>
          <w:rFonts w:ascii="Times New Roman" w:eastAsia="Times New Roman" w:hAnsi="Times New Roman"/>
          <w:bCs/>
          <w:color w:val="000000"/>
        </w:rPr>
        <w:t>O</w:t>
      </w:r>
      <w:r w:rsidR="0022194D">
        <w:rPr>
          <w:rFonts w:ascii="Times New Roman" w:eastAsia="Times New Roman" w:hAnsi="Times New Roman"/>
          <w:bCs/>
          <w:color w:val="000000"/>
        </w:rPr>
        <w:t xml:space="preserve">lder editions from 2009-2010 forward </w:t>
      </w:r>
      <w:r>
        <w:rPr>
          <w:rFonts w:ascii="Times New Roman" w:eastAsia="Times New Roman" w:hAnsi="Times New Roman"/>
          <w:bCs/>
          <w:color w:val="000000"/>
        </w:rPr>
        <w:t xml:space="preserve">are </w:t>
      </w:r>
      <w:r w:rsidR="0022194D">
        <w:rPr>
          <w:rFonts w:ascii="Times New Roman" w:eastAsia="Times New Roman" w:hAnsi="Times New Roman"/>
          <w:bCs/>
          <w:color w:val="000000"/>
        </w:rPr>
        <w:t xml:space="preserve">acceptable.  </w:t>
      </w:r>
    </w:p>
    <w:p w:rsidR="00CB5A11" w:rsidRPr="008D50B3" w:rsidRDefault="00CB5A11" w:rsidP="00CB5A11">
      <w:pPr>
        <w:pStyle w:val="ListParagraph"/>
        <w:shd w:val="clear" w:color="auto" w:fill="FFFFFF"/>
        <w:ind w:left="0"/>
        <w:rPr>
          <w:rFonts w:ascii="Times New Roman" w:eastAsia="Times New Roman" w:hAnsi="Times New Roman"/>
          <w:bCs/>
          <w:color w:val="000000"/>
          <w:sz w:val="20"/>
          <w:szCs w:val="20"/>
        </w:rPr>
      </w:pPr>
    </w:p>
    <w:p w:rsidR="004E5809" w:rsidRPr="008D50B3" w:rsidRDefault="00503E2E" w:rsidP="004E5809">
      <w:pPr>
        <w:pStyle w:val="Heading3"/>
      </w:pPr>
      <w:r w:rsidRPr="008D50B3">
        <w:t>Other Readings</w:t>
      </w:r>
    </w:p>
    <w:p w:rsidR="00FC6AFB" w:rsidRDefault="0029128A" w:rsidP="0029128A">
      <w:pPr>
        <w:pStyle w:val="ListParagraph"/>
        <w:numPr>
          <w:ilvl w:val="0"/>
          <w:numId w:val="4"/>
        </w:numPr>
        <w:shd w:val="clear" w:color="auto" w:fill="FFFFFF"/>
        <w:spacing w:after="120"/>
        <w:rPr>
          <w:rFonts w:ascii="Times New Roman" w:eastAsia="Times New Roman" w:hAnsi="Times New Roman"/>
          <w:bCs/>
          <w:color w:val="000000"/>
        </w:rPr>
      </w:pPr>
      <w:r>
        <w:rPr>
          <w:rFonts w:ascii="Times New Roman" w:eastAsia="Times New Roman" w:hAnsi="Times New Roman"/>
          <w:bCs/>
          <w:color w:val="000000"/>
        </w:rPr>
        <w:t>Primary Sources</w:t>
      </w:r>
      <w:r w:rsidR="00D1673F">
        <w:rPr>
          <w:rFonts w:ascii="Times New Roman" w:eastAsia="Times New Roman" w:hAnsi="Times New Roman"/>
          <w:bCs/>
          <w:color w:val="000000"/>
        </w:rPr>
        <w:t xml:space="preserve"> noted on the syllabus</w:t>
      </w:r>
      <w:r>
        <w:rPr>
          <w:rFonts w:ascii="Times New Roman" w:eastAsia="Times New Roman" w:hAnsi="Times New Roman"/>
          <w:bCs/>
          <w:color w:val="000000"/>
        </w:rPr>
        <w:t xml:space="preserve">: the </w:t>
      </w:r>
      <w:r w:rsidRPr="008D50B3">
        <w:rPr>
          <w:rFonts w:ascii="Times New Roman" w:eastAsia="Times New Roman" w:hAnsi="Times New Roman"/>
          <w:bCs/>
          <w:color w:val="000000"/>
        </w:rPr>
        <w:t>Internal Revenue Code</w:t>
      </w:r>
      <w:r>
        <w:rPr>
          <w:rFonts w:ascii="Times New Roman" w:eastAsia="Times New Roman" w:hAnsi="Times New Roman"/>
          <w:bCs/>
          <w:color w:val="000000"/>
        </w:rPr>
        <w:t>, the Treasury Regulations, case law and administrative rulings</w:t>
      </w:r>
      <w:r w:rsidRPr="008D50B3">
        <w:rPr>
          <w:rFonts w:ascii="Times New Roman" w:eastAsia="Times New Roman" w:hAnsi="Times New Roman"/>
          <w:bCs/>
          <w:color w:val="000000"/>
        </w:rPr>
        <w:t xml:space="preserve"> (available from RIA Checkpoint and CCH</w:t>
      </w:r>
      <w:r>
        <w:rPr>
          <w:rFonts w:ascii="Times New Roman" w:eastAsia="Times New Roman" w:hAnsi="Times New Roman"/>
          <w:bCs/>
          <w:color w:val="000000"/>
        </w:rPr>
        <w:t>, among other sources</w:t>
      </w:r>
      <w:r w:rsidRPr="008D50B3">
        <w:rPr>
          <w:rFonts w:ascii="Times New Roman" w:eastAsia="Times New Roman" w:hAnsi="Times New Roman"/>
          <w:bCs/>
          <w:color w:val="000000"/>
        </w:rPr>
        <w:t>)</w:t>
      </w:r>
      <w:r w:rsidR="00FC6AFB">
        <w:rPr>
          <w:rFonts w:ascii="Times New Roman" w:eastAsia="Times New Roman" w:hAnsi="Times New Roman"/>
          <w:bCs/>
          <w:color w:val="000000"/>
        </w:rPr>
        <w:t xml:space="preserve">.  </w:t>
      </w:r>
    </w:p>
    <w:p w:rsidR="00FC6AFB" w:rsidRDefault="00FC6AFB" w:rsidP="00FC6AFB">
      <w:pPr>
        <w:pStyle w:val="ListParagraph"/>
        <w:shd w:val="clear" w:color="auto" w:fill="FFFFFF"/>
        <w:spacing w:after="120"/>
        <w:rPr>
          <w:rFonts w:ascii="Times New Roman" w:eastAsia="Times New Roman" w:hAnsi="Times New Roman"/>
          <w:bCs/>
          <w:color w:val="000000"/>
        </w:rPr>
      </w:pPr>
    </w:p>
    <w:p w:rsidR="0029128A" w:rsidRDefault="00FC6AFB" w:rsidP="00FC6AFB">
      <w:pPr>
        <w:pStyle w:val="ListParagraph"/>
        <w:shd w:val="clear" w:color="auto" w:fill="FFFFFF"/>
        <w:spacing w:after="120"/>
        <w:rPr>
          <w:rFonts w:ascii="Times New Roman" w:eastAsia="Times New Roman" w:hAnsi="Times New Roman"/>
          <w:bCs/>
          <w:color w:val="000000"/>
        </w:rPr>
      </w:pPr>
      <w:r w:rsidRPr="00FC6AFB">
        <w:rPr>
          <w:rFonts w:ascii="Times New Roman" w:eastAsia="Times New Roman" w:hAnsi="Times New Roman"/>
          <w:bCs/>
          <w:color w:val="000000"/>
          <w:u w:val="single"/>
        </w:rPr>
        <w:t>Note</w:t>
      </w:r>
      <w:r>
        <w:rPr>
          <w:rFonts w:ascii="Times New Roman" w:eastAsia="Times New Roman" w:hAnsi="Times New Roman"/>
          <w:bCs/>
          <w:color w:val="000000"/>
        </w:rPr>
        <w:t xml:space="preserve">: I have generally moved relevant citations to the Code and Regulations to the preparation assignments, so that you can look these answers up in the context of specific problems / fact patterns.    </w:t>
      </w:r>
    </w:p>
    <w:p w:rsidR="0029128A" w:rsidRDefault="0029128A" w:rsidP="0029128A">
      <w:pPr>
        <w:pStyle w:val="ListParagraph"/>
        <w:shd w:val="clear" w:color="auto" w:fill="FFFFFF"/>
        <w:spacing w:after="120"/>
        <w:rPr>
          <w:rFonts w:ascii="Times New Roman" w:eastAsia="Times New Roman" w:hAnsi="Times New Roman"/>
          <w:bCs/>
          <w:color w:val="000000"/>
        </w:rPr>
      </w:pPr>
    </w:p>
    <w:p w:rsidR="00D43756" w:rsidRPr="00D43756" w:rsidRDefault="00D43756" w:rsidP="004671D2">
      <w:pPr>
        <w:pStyle w:val="ListParagraph"/>
        <w:numPr>
          <w:ilvl w:val="0"/>
          <w:numId w:val="4"/>
        </w:numPr>
        <w:shd w:val="clear" w:color="auto" w:fill="FFFFFF"/>
        <w:spacing w:after="120"/>
        <w:rPr>
          <w:rFonts w:ascii="Times New Roman" w:eastAsia="Times New Roman" w:hAnsi="Times New Roman"/>
          <w:bCs/>
          <w:color w:val="000000"/>
        </w:rPr>
      </w:pPr>
      <w:r>
        <w:rPr>
          <w:rFonts w:ascii="Times New Roman" w:eastAsia="Times New Roman" w:hAnsi="Times New Roman"/>
          <w:bCs/>
          <w:color w:val="000000"/>
        </w:rPr>
        <w:t xml:space="preserve">Slides / Lecture Outlines to be </w:t>
      </w:r>
      <w:r w:rsidR="0029128A">
        <w:rPr>
          <w:rFonts w:ascii="Times New Roman" w:eastAsia="Times New Roman" w:hAnsi="Times New Roman"/>
          <w:bCs/>
          <w:color w:val="000000"/>
        </w:rPr>
        <w:t xml:space="preserve">distributed to enrolled students via email and Canvas </w:t>
      </w:r>
    </w:p>
    <w:p w:rsidR="00D43756" w:rsidRPr="00D43756" w:rsidRDefault="00D43756" w:rsidP="00D43756">
      <w:pPr>
        <w:pStyle w:val="ListParagraph"/>
        <w:shd w:val="clear" w:color="auto" w:fill="FFFFFF"/>
        <w:spacing w:after="120"/>
        <w:rPr>
          <w:rFonts w:ascii="Times New Roman" w:eastAsia="Times New Roman" w:hAnsi="Times New Roman"/>
          <w:bCs/>
          <w:color w:val="000000"/>
        </w:rPr>
      </w:pPr>
    </w:p>
    <w:p w:rsidR="004671D2" w:rsidRPr="004671D2" w:rsidRDefault="004671D2" w:rsidP="004671D2">
      <w:pPr>
        <w:pStyle w:val="ListParagraph"/>
        <w:numPr>
          <w:ilvl w:val="0"/>
          <w:numId w:val="4"/>
        </w:numPr>
        <w:shd w:val="clear" w:color="auto" w:fill="FFFFFF"/>
        <w:spacing w:after="120"/>
        <w:rPr>
          <w:rFonts w:ascii="Times New Roman" w:eastAsia="Times New Roman" w:hAnsi="Times New Roman"/>
          <w:bCs/>
          <w:color w:val="000000"/>
        </w:rPr>
      </w:pPr>
      <w:r>
        <w:rPr>
          <w:rFonts w:ascii="Times New Roman" w:hAnsi="Times New Roman"/>
        </w:rPr>
        <w:t xml:space="preserve">Selected other BNA Portfolio assignments and secondary sources (see syllabus below) </w:t>
      </w:r>
    </w:p>
    <w:p w:rsidR="009A5E7D" w:rsidRPr="008D50B3" w:rsidRDefault="009A5E7D" w:rsidP="009A5E7D">
      <w:pPr>
        <w:numPr>
          <w:ilvl w:val="0"/>
          <w:numId w:val="4"/>
        </w:numPr>
      </w:pPr>
      <w:r w:rsidRPr="008D50B3">
        <w:rPr>
          <w:rStyle w:val="Strong"/>
          <w:b w:val="0"/>
        </w:rPr>
        <w:t xml:space="preserve">Selected IRS </w:t>
      </w:r>
      <w:r>
        <w:rPr>
          <w:rStyle w:val="Strong"/>
          <w:b w:val="0"/>
        </w:rPr>
        <w:t xml:space="preserve">Forms and </w:t>
      </w:r>
      <w:r w:rsidR="00D1673F">
        <w:rPr>
          <w:rStyle w:val="Strong"/>
          <w:b w:val="0"/>
        </w:rPr>
        <w:t>Pu</w:t>
      </w:r>
      <w:r>
        <w:rPr>
          <w:rStyle w:val="Strong"/>
          <w:b w:val="0"/>
        </w:rPr>
        <w:t xml:space="preserve">blications </w:t>
      </w:r>
    </w:p>
    <w:p w:rsidR="009A5E7D" w:rsidRPr="009A5E7D" w:rsidRDefault="009A5E7D" w:rsidP="009A5E7D">
      <w:pPr>
        <w:numPr>
          <w:ilvl w:val="0"/>
          <w:numId w:val="4"/>
        </w:numPr>
        <w:rPr>
          <w:rStyle w:val="Strong"/>
          <w:b w:val="0"/>
          <w:bCs w:val="0"/>
        </w:rPr>
      </w:pPr>
      <w:r>
        <w:rPr>
          <w:rStyle w:val="Strong"/>
          <w:b w:val="0"/>
        </w:rPr>
        <w:t>Training manuals published by the IRS International Practice Units [Hereafter – “IPU Manuals”], available at (</w:t>
      </w:r>
      <w:hyperlink r:id="rId9" w:history="1">
        <w:r w:rsidRPr="003D3628">
          <w:rPr>
            <w:rStyle w:val="Hyperlink"/>
          </w:rPr>
          <w:t>http://www.irs.gov/Businesses/Corporations/International-Practice-Units</w:t>
        </w:r>
      </w:hyperlink>
      <w:r>
        <w:rPr>
          <w:rStyle w:val="Strong"/>
          <w:b w:val="0"/>
        </w:rPr>
        <w:t xml:space="preserve">  </w:t>
      </w:r>
    </w:p>
    <w:p w:rsidR="00503E2E" w:rsidRPr="00D1673F" w:rsidRDefault="00D1673F" w:rsidP="00503E2E">
      <w:pPr>
        <w:pStyle w:val="Heading2"/>
        <w:rPr>
          <w:rFonts w:ascii="Times New Roman" w:hAnsi="Times New Roman" w:cs="Times New Roman"/>
          <w:u w:val="single"/>
        </w:rPr>
      </w:pPr>
      <w:r>
        <w:rPr>
          <w:rFonts w:ascii="Times New Roman" w:hAnsi="Times New Roman" w:cs="Times New Roman"/>
          <w:u w:val="single"/>
        </w:rPr>
        <w:lastRenderedPageBreak/>
        <w:t>ASSIGNMENTS AND GRADING POLICY</w:t>
      </w:r>
    </w:p>
    <w:p w:rsidR="00CB5A11" w:rsidRDefault="00D43756" w:rsidP="00887631">
      <w:pPr>
        <w:keepNext/>
      </w:pPr>
      <w:r>
        <w:t>The course will be graded on a curve, with g</w:t>
      </w:r>
      <w:r w:rsidR="00CB5A11" w:rsidRPr="008D50B3">
        <w:t>rades follow</w:t>
      </w:r>
      <w:r>
        <w:t>ing</w:t>
      </w:r>
      <w:r w:rsidR="00CB5A11" w:rsidRPr="008D50B3">
        <w:t xml:space="preserve"> the pattern of 90% or higher for an A, 80% or higher for a B, 70% or higher for a C, etc. </w:t>
      </w:r>
      <w:r>
        <w:t xml:space="preserve"> </w:t>
      </w:r>
      <w:r w:rsidR="00CB5A11" w:rsidRPr="008D50B3">
        <w:t xml:space="preserve">Plus and minus grades will be used for scores within two percentage points of the grade breakpoint.  </w:t>
      </w:r>
    </w:p>
    <w:p w:rsidR="008044F9" w:rsidRPr="008D50B3" w:rsidRDefault="00EE221A" w:rsidP="00887631">
      <w:pPr>
        <w:keepNext/>
        <w:ind w:left="360"/>
      </w:pPr>
      <w:r>
        <w:t>Homework a</w:t>
      </w:r>
      <w:r w:rsidR="008044F9" w:rsidRPr="008D50B3">
        <w:t>ssignments</w:t>
      </w:r>
      <w:r w:rsidR="00D43756">
        <w:tab/>
      </w:r>
      <w:r w:rsidR="00D43756">
        <w:tab/>
      </w:r>
      <w:r w:rsidR="008044F9" w:rsidRPr="008D50B3">
        <w:tab/>
      </w:r>
      <w:r w:rsidR="008044F9" w:rsidRPr="008D50B3">
        <w:tab/>
      </w:r>
      <w:r w:rsidR="008044F9" w:rsidRPr="008D50B3">
        <w:tab/>
      </w:r>
      <w:r w:rsidR="00A0190A">
        <w:t xml:space="preserve">  75</w:t>
      </w:r>
    </w:p>
    <w:p w:rsidR="008044F9" w:rsidRPr="008D50B3" w:rsidRDefault="00E0641E" w:rsidP="008044F9">
      <w:pPr>
        <w:ind w:left="360"/>
      </w:pPr>
      <w:r>
        <w:t>In-c</w:t>
      </w:r>
      <w:r w:rsidR="00D43756">
        <w:t>lass p</w:t>
      </w:r>
      <w:r w:rsidR="008044F9" w:rsidRPr="008D50B3">
        <w:t>resentation</w:t>
      </w:r>
      <w:r w:rsidR="00EE221A">
        <w:t xml:space="preserve"> (group)</w:t>
      </w:r>
      <w:r w:rsidR="008044F9" w:rsidRPr="008D50B3">
        <w:tab/>
      </w:r>
      <w:r w:rsidR="00EE221A">
        <w:tab/>
      </w:r>
      <w:r w:rsidR="00EE221A">
        <w:tab/>
      </w:r>
      <w:r w:rsidR="00EE221A">
        <w:tab/>
      </w:r>
      <w:r w:rsidR="008044F9" w:rsidRPr="008D50B3">
        <w:t xml:space="preserve">  </w:t>
      </w:r>
      <w:r w:rsidR="00A0190A">
        <w:t>25</w:t>
      </w:r>
    </w:p>
    <w:p w:rsidR="00A0190A" w:rsidRDefault="00A0190A" w:rsidP="008044F9">
      <w:pPr>
        <w:ind w:left="360"/>
      </w:pPr>
      <w:r>
        <w:t xml:space="preserve">In-class participation (speaking up </w:t>
      </w:r>
    </w:p>
    <w:p w:rsidR="00A0190A" w:rsidRDefault="00A0190A" w:rsidP="00A0190A">
      <w:pPr>
        <w:ind w:left="360"/>
      </w:pPr>
      <w:proofErr w:type="gramStart"/>
      <w:r>
        <w:t>during</w:t>
      </w:r>
      <w:proofErr w:type="gramEnd"/>
      <w:r>
        <w:t xml:space="preserve"> class, providing good contributions</w:t>
      </w:r>
    </w:p>
    <w:p w:rsidR="00A0190A" w:rsidRDefault="00A0190A" w:rsidP="00A0190A">
      <w:pPr>
        <w:ind w:left="360"/>
      </w:pPr>
      <w:proofErr w:type="gramStart"/>
      <w:r>
        <w:t>on</w:t>
      </w:r>
      <w:proofErr w:type="gramEnd"/>
      <w:r>
        <w:t xml:space="preserve"> preparation assignments)</w:t>
      </w:r>
      <w:r>
        <w:tab/>
      </w:r>
      <w:r>
        <w:tab/>
      </w:r>
      <w:r>
        <w:tab/>
      </w:r>
      <w:r>
        <w:tab/>
        <w:t xml:space="preserve">  10</w:t>
      </w:r>
    </w:p>
    <w:p w:rsidR="008044F9" w:rsidRPr="008D50B3" w:rsidRDefault="008044F9" w:rsidP="008044F9">
      <w:pPr>
        <w:ind w:left="360"/>
      </w:pPr>
      <w:r w:rsidRPr="008D50B3">
        <w:t>Final exam</w:t>
      </w:r>
      <w:r w:rsidRPr="008D50B3">
        <w:tab/>
      </w:r>
      <w:r w:rsidRPr="008D50B3">
        <w:tab/>
      </w:r>
      <w:r w:rsidRPr="008D50B3">
        <w:tab/>
      </w:r>
      <w:r w:rsidRPr="008D50B3">
        <w:tab/>
      </w:r>
      <w:r w:rsidR="00D43756">
        <w:tab/>
      </w:r>
      <w:r w:rsidR="00EE221A">
        <w:tab/>
      </w:r>
      <w:r w:rsidR="00EE221A">
        <w:tab/>
      </w:r>
      <w:r w:rsidR="00EE221A">
        <w:tab/>
      </w:r>
      <w:r w:rsidR="00D43756">
        <w:tab/>
      </w:r>
      <w:r w:rsidR="00A0190A">
        <w:t xml:space="preserve">  </w:t>
      </w:r>
      <w:r w:rsidR="00A0190A">
        <w:rPr>
          <w:u w:val="single"/>
        </w:rPr>
        <w:t>90</w:t>
      </w:r>
    </w:p>
    <w:p w:rsidR="008044F9" w:rsidRPr="00C90941" w:rsidRDefault="008044F9" w:rsidP="008044F9">
      <w:pPr>
        <w:ind w:left="360"/>
        <w:rPr>
          <w:b/>
        </w:rPr>
      </w:pPr>
      <w:r w:rsidRPr="008D50B3">
        <w:t xml:space="preserve">  </w:t>
      </w:r>
      <w:r w:rsidRPr="00C90941">
        <w:rPr>
          <w:b/>
        </w:rPr>
        <w:t>Total</w:t>
      </w:r>
      <w:r w:rsidRPr="00C90941">
        <w:rPr>
          <w:b/>
        </w:rPr>
        <w:tab/>
      </w:r>
      <w:r w:rsidRPr="00C90941">
        <w:rPr>
          <w:b/>
        </w:rPr>
        <w:tab/>
      </w:r>
      <w:r w:rsidRPr="00C90941">
        <w:rPr>
          <w:b/>
        </w:rPr>
        <w:tab/>
      </w:r>
      <w:r w:rsidRPr="00C90941">
        <w:rPr>
          <w:b/>
        </w:rPr>
        <w:tab/>
      </w:r>
      <w:r w:rsidRPr="00C90941">
        <w:rPr>
          <w:b/>
        </w:rPr>
        <w:tab/>
      </w:r>
      <w:r w:rsidR="00EE221A" w:rsidRPr="00C90941">
        <w:rPr>
          <w:b/>
        </w:rPr>
        <w:tab/>
      </w:r>
      <w:r w:rsidR="00EE221A" w:rsidRPr="00C90941">
        <w:rPr>
          <w:b/>
        </w:rPr>
        <w:tab/>
      </w:r>
      <w:r w:rsidR="00EE221A" w:rsidRPr="00C90941">
        <w:rPr>
          <w:b/>
        </w:rPr>
        <w:tab/>
      </w:r>
      <w:r w:rsidR="00D43756" w:rsidRPr="00C90941">
        <w:rPr>
          <w:b/>
        </w:rPr>
        <w:tab/>
      </w:r>
      <w:r w:rsidR="00D43756" w:rsidRPr="00C90941">
        <w:rPr>
          <w:b/>
        </w:rPr>
        <w:tab/>
      </w:r>
      <w:r w:rsidR="001D7DBF" w:rsidRPr="00C90941">
        <w:rPr>
          <w:b/>
        </w:rPr>
        <w:t>2</w:t>
      </w:r>
      <w:r w:rsidR="00A0190A" w:rsidRPr="00C90941">
        <w:rPr>
          <w:b/>
        </w:rPr>
        <w:t>0</w:t>
      </w:r>
      <w:r w:rsidR="001D7DBF" w:rsidRPr="00C90941">
        <w:rPr>
          <w:b/>
        </w:rPr>
        <w:t>0</w:t>
      </w:r>
    </w:p>
    <w:p w:rsidR="00FC6AFB" w:rsidRDefault="00FC6AFB" w:rsidP="00D1673F">
      <w:pPr>
        <w:rPr>
          <w:b/>
          <w:u w:val="single"/>
        </w:rPr>
      </w:pPr>
    </w:p>
    <w:p w:rsidR="00FC6AFB" w:rsidRDefault="00D1673F" w:rsidP="00D1673F">
      <w:r w:rsidRPr="00C90941">
        <w:rPr>
          <w:b/>
          <w:u w:val="single"/>
        </w:rPr>
        <w:t>Graded homework assignments are listed on the syllabus column (Graded Homework) below</w:t>
      </w:r>
      <w:r w:rsidRPr="00C90941">
        <w:rPr>
          <w:b/>
        </w:rPr>
        <w:t>.</w:t>
      </w:r>
      <w:r w:rsidRPr="008D50B3">
        <w:t xml:space="preserve"> </w:t>
      </w:r>
      <w:r>
        <w:t xml:space="preserve"> There will be three assignments (25 points each) that consist of problems that test understanding of prior classes’ material.   These homework assignments will be done outside of class and you may consult with other students if desired; however, each student </w:t>
      </w:r>
      <w:r w:rsidR="00FC6AFB">
        <w:t xml:space="preserve">is responsible for writing and handing in his or her own assignment written in his or her own words.  </w:t>
      </w:r>
      <w:r w:rsidRPr="008D50B3">
        <w:t>All homework must be turned in when due</w:t>
      </w:r>
      <w:r>
        <w:t xml:space="preserve"> for full credit</w:t>
      </w:r>
      <w:r w:rsidRPr="008D50B3">
        <w:t>.</w:t>
      </w:r>
      <w:r>
        <w:t xml:space="preserve">  </w:t>
      </w:r>
    </w:p>
    <w:p w:rsidR="00D1673F" w:rsidRPr="00DC5D53" w:rsidRDefault="00D1673F" w:rsidP="00D1673F">
      <w:pPr>
        <w:rPr>
          <w:b/>
        </w:rPr>
      </w:pPr>
      <w:r>
        <w:t xml:space="preserve">In addition, as preparation for each lecture, you will be assigned a series of problems to work through that are designed to help you understand the material for that class.  </w:t>
      </w:r>
      <w:r w:rsidRPr="00C90941">
        <w:rPr>
          <w:b/>
          <w:u w:val="single"/>
        </w:rPr>
        <w:t xml:space="preserve">The answers to these problems will be </w:t>
      </w:r>
      <w:r>
        <w:rPr>
          <w:b/>
          <w:u w:val="single"/>
        </w:rPr>
        <w:t xml:space="preserve">important to understanding the material and preparing adequately for each </w:t>
      </w:r>
      <w:r w:rsidRPr="00DC5D53">
        <w:rPr>
          <w:b/>
          <w:u w:val="single"/>
        </w:rPr>
        <w:t>class</w:t>
      </w:r>
      <w:r>
        <w:rPr>
          <w:b/>
        </w:rPr>
        <w:t xml:space="preserve">.  </w:t>
      </w:r>
      <w:r w:rsidRPr="00DC5D53">
        <w:t>You</w:t>
      </w:r>
      <w:r>
        <w:t xml:space="preserve"> are expected to work through these problems as part of preparing for that night’s class and read the Code, regulation and other authorities cited as relevant to each of these problems.  We will also discuss some these problems together in groups as part of the class.  </w:t>
      </w:r>
      <w:r>
        <w:rPr>
          <w:b/>
        </w:rPr>
        <w:t xml:space="preserve">However, the answers to the preparation questions will </w:t>
      </w:r>
      <w:r w:rsidRPr="00DC5D53">
        <w:rPr>
          <w:b/>
          <w:u w:val="single"/>
        </w:rPr>
        <w:t>not</w:t>
      </w:r>
      <w:r>
        <w:rPr>
          <w:b/>
        </w:rPr>
        <w:t xml:space="preserve"> be graded.</w:t>
      </w:r>
    </w:p>
    <w:p w:rsidR="00D1673F" w:rsidRDefault="00D1673F" w:rsidP="00D1673F">
      <w:r w:rsidRPr="00592989">
        <w:rPr>
          <w:b/>
          <w:u w:val="single"/>
        </w:rPr>
        <w:t>The final exam will be an in-class, modified closed-book Exam</w:t>
      </w:r>
      <w:r>
        <w:t>.  For the exam, you can bring copies of Code and Regulations Book</w:t>
      </w:r>
      <w:r w:rsidR="00FC6AFB">
        <w:t xml:space="preserve"> </w:t>
      </w:r>
      <w:r>
        <w:t xml:space="preserve">and a three-page (single </w:t>
      </w:r>
      <w:r w:rsidR="00FC6AFB">
        <w:t>sided</w:t>
      </w:r>
      <w:r>
        <w:t xml:space="preserve">) outline that you have prepared yourself.  No other materials or internet access during the final exam will be permitted.     </w:t>
      </w:r>
    </w:p>
    <w:p w:rsidR="00FC6AFB" w:rsidRDefault="00FC6AFB" w:rsidP="00D1673F">
      <w:r>
        <w:t>On all problems (Exam and homework), please show your work for possible partial credit.</w:t>
      </w:r>
    </w:p>
    <w:p w:rsidR="00D1673F" w:rsidRDefault="00D1673F" w:rsidP="00D1673F">
      <w:r>
        <w:t xml:space="preserve">For the group project, a group of 2 -3 students is expected to prepare a Power-point presentation (no more than 8-10 slides) and present for approximately 15 minutes.  The group presentation will be graded on quality of the Power-point materials / handout, quality of the analysis, and oral presentation skills. </w:t>
      </w:r>
      <w:r w:rsidRPr="00BF292E">
        <w:rPr>
          <w:b/>
          <w:u w:val="single"/>
        </w:rPr>
        <w:t>Please submit your</w:t>
      </w:r>
      <w:r>
        <w:rPr>
          <w:b/>
          <w:u w:val="single"/>
        </w:rPr>
        <w:t xml:space="preserve"> in-class presentation case choice and members of your group by the end of class No. 5 (May 3, 2016).</w:t>
      </w:r>
      <w:r>
        <w:t xml:space="preserve"> </w:t>
      </w:r>
    </w:p>
    <w:p w:rsidR="00503E2E" w:rsidRPr="008D50B3" w:rsidRDefault="00503E2E" w:rsidP="00503E2E">
      <w:pPr>
        <w:pStyle w:val="Heading2"/>
        <w:rPr>
          <w:rFonts w:ascii="Times New Roman" w:hAnsi="Times New Roman" w:cs="Times New Roman"/>
        </w:rPr>
      </w:pPr>
      <w:r w:rsidRPr="008D50B3">
        <w:rPr>
          <w:rFonts w:ascii="Times New Roman" w:hAnsi="Times New Roman" w:cs="Times New Roman"/>
        </w:rPr>
        <w:lastRenderedPageBreak/>
        <w:t>University Policies</w:t>
      </w:r>
    </w:p>
    <w:p w:rsidR="00503E2E" w:rsidRPr="008D50B3" w:rsidRDefault="00503E2E" w:rsidP="00503E2E">
      <w:pPr>
        <w:pStyle w:val="Heading3"/>
      </w:pPr>
      <w:r w:rsidRPr="008D50B3">
        <w:t>Academic integrity</w:t>
      </w:r>
    </w:p>
    <w:p w:rsidR="00503E2E" w:rsidRPr="008D50B3" w:rsidRDefault="00503E2E" w:rsidP="00503E2E">
      <w:pPr>
        <w:pStyle w:val="BodyText"/>
        <w:rPr>
          <w:bCs/>
        </w:rPr>
      </w:pPr>
      <w:r w:rsidRPr="008D50B3">
        <w:t>Students should know the University’s Academic Integrity Policy that is available at</w:t>
      </w:r>
      <w:r w:rsidRPr="008D50B3">
        <w:br/>
      </w:r>
      <w:hyperlink r:id="rId10" w:history="1">
        <w:r w:rsidRPr="008D50B3">
          <w:rPr>
            <w:rStyle w:val="Hyperlink"/>
          </w:rPr>
          <w:t>http://www.sa.sjsu.edu/download/judicial_affairs/Academic_Integrity_Policy_S07-2.pdf</w:t>
        </w:r>
      </w:hyperlink>
      <w:r w:rsidRPr="008D50B3">
        <w:br/>
      </w:r>
      <w:proofErr w:type="gramStart"/>
      <w:r w:rsidRPr="008D50B3">
        <w:rPr>
          <w:bCs/>
        </w:rPr>
        <w:t>Your</w:t>
      </w:r>
      <w:proofErr w:type="gramEnd"/>
      <w:r w:rsidRPr="008D50B3">
        <w:rPr>
          <w:bCs/>
        </w:rPr>
        <w:t xml:space="preserve"> own commitment to learning, as evidenced by your enrollment at San Jose State University and the University’s integrity policy, require you to be honest in all your academic course work. Faculty members are required to report all infractions to the office of Student Conduct and Ethical Development. The website for Student Conduct and Ethical Development is available at </w:t>
      </w:r>
      <w:r w:rsidRPr="008D50B3">
        <w:rPr>
          <w:bCs/>
        </w:rPr>
        <w:br/>
      </w:r>
      <w:hyperlink r:id="rId11" w:history="1">
        <w:r w:rsidRPr="008D50B3">
          <w:rPr>
            <w:rStyle w:val="Hyperlink"/>
          </w:rPr>
          <w:t>http://www.sa.sjsu.edu/judicial_affairs/index.html</w:t>
        </w:r>
      </w:hyperlink>
    </w:p>
    <w:p w:rsidR="00503E2E" w:rsidRPr="008D50B3" w:rsidRDefault="00503E2E" w:rsidP="00503E2E">
      <w:pPr>
        <w:pStyle w:val="BodyText"/>
      </w:pPr>
      <w:r w:rsidRPr="008D50B3">
        <w:rPr>
          <w:bCs/>
        </w:rPr>
        <w:t>Instances of academic dishonesty will not be tolerated. Cheating on exams or plagiarism (presenting the work of another as your own, or the use of another person’s ideas without giving proper credit) will result in a failing grade and sanctions by the University. For this class, all assignments are to be completed by the individual student unless otherwise specified. If you would like to include in your assignment any material you have submitted, or plan to submit for another class, please note that SJSU’s Academic Policy F06-1 requires approval of instructors.</w:t>
      </w:r>
    </w:p>
    <w:p w:rsidR="00503E2E" w:rsidRPr="008D50B3" w:rsidRDefault="00503E2E" w:rsidP="00503E2E">
      <w:pPr>
        <w:pStyle w:val="Heading3"/>
      </w:pPr>
      <w:r w:rsidRPr="008D50B3">
        <w:t>Campus Policy in Compliance with the American Disabilities Act</w:t>
      </w:r>
    </w:p>
    <w:p w:rsidR="00583B0C" w:rsidRPr="008D50B3" w:rsidRDefault="00503E2E" w:rsidP="008044F9">
      <w:pPr>
        <w:pStyle w:val="BodyText"/>
      </w:pPr>
      <w:r w:rsidRPr="008D50B3">
        <w:t>If you need course adaptations or accommodations because of a disability, or if you need to make special arrangements in case the building must be evacuated, please make an appointment with me as soon as possible, or see me during office hours. Presidential Directive 97-03 requires that students with disabilities requesting accommodations must register with the DRC (Disability Resource Center) to establish a record of their disability.</w:t>
      </w:r>
    </w:p>
    <w:p w:rsidR="00583B0C" w:rsidRPr="008D50B3" w:rsidRDefault="00583B0C" w:rsidP="00583B0C">
      <w:pPr>
        <w:autoSpaceDE w:val="0"/>
        <w:autoSpaceDN w:val="0"/>
        <w:adjustRightInd w:val="0"/>
        <w:spacing w:after="0"/>
      </w:pPr>
    </w:p>
    <w:p w:rsidR="00E950D0" w:rsidRPr="008D50B3" w:rsidRDefault="00346418" w:rsidP="00E950D0">
      <w:pPr>
        <w:autoSpaceDE w:val="0"/>
        <w:autoSpaceDN w:val="0"/>
        <w:adjustRightInd w:val="0"/>
        <w:spacing w:after="0"/>
      </w:pPr>
      <w:r w:rsidRPr="008D50B3">
        <w:rPr>
          <w:b/>
        </w:rPr>
        <w:t>MST</w:t>
      </w:r>
      <w:r w:rsidR="00583B0C" w:rsidRPr="008D50B3">
        <w:rPr>
          <w:b/>
        </w:rPr>
        <w:t xml:space="preserve"> Program </w:t>
      </w:r>
      <w:proofErr w:type="gramStart"/>
      <w:r w:rsidR="00583B0C" w:rsidRPr="008D50B3">
        <w:rPr>
          <w:b/>
        </w:rPr>
        <w:t>Goals</w:t>
      </w:r>
      <w:proofErr w:type="gramEnd"/>
      <w:r w:rsidR="00E950D0" w:rsidRPr="008D50B3">
        <w:rPr>
          <w:b/>
        </w:rPr>
        <w:br/>
      </w:r>
      <w:r w:rsidR="00E950D0" w:rsidRPr="008D50B3">
        <w:rPr>
          <w:i/>
        </w:rPr>
        <w:t>(Not all program learning goals are covered in every course</w:t>
      </w:r>
      <w:r w:rsidR="00E950D0" w:rsidRPr="008D50B3">
        <w:t>)</w:t>
      </w:r>
    </w:p>
    <w:tbl>
      <w:tblPr>
        <w:tblpPr w:leftFromText="187" w:rightFromText="187" w:vertAnchor="text" w:horzAnchor="page" w:tblpX="1101" w:tblpY="440"/>
        <w:tblW w:w="462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5" w:type="dxa"/>
          <w:left w:w="115" w:type="dxa"/>
          <w:bottom w:w="115" w:type="dxa"/>
          <w:right w:w="115" w:type="dxa"/>
        </w:tblCellMar>
        <w:tblLook w:val="01E0"/>
      </w:tblPr>
      <w:tblGrid>
        <w:gridCol w:w="414"/>
        <w:gridCol w:w="2074"/>
        <w:gridCol w:w="5987"/>
      </w:tblGrid>
      <w:tr w:rsidR="000A0746" w:rsidRPr="002422F7" w:rsidTr="000A0746">
        <w:tc>
          <w:tcPr>
            <w:tcW w:w="9985" w:type="dxa"/>
            <w:gridSpan w:val="3"/>
            <w:shd w:val="clear" w:color="auto" w:fill="7F7F7F"/>
          </w:tcPr>
          <w:p w:rsidR="000A0746" w:rsidRPr="00183406" w:rsidRDefault="000A0746" w:rsidP="00AC6564">
            <w:pPr>
              <w:pStyle w:val="Title"/>
              <w:rPr>
                <w:rFonts w:ascii="Times New Roman" w:hAnsi="Times New Roman"/>
                <w:sz w:val="32"/>
                <w:szCs w:val="32"/>
              </w:rPr>
            </w:pPr>
            <w:r w:rsidRPr="000A0746">
              <w:rPr>
                <w:rFonts w:ascii="Times New Roman" w:hAnsi="Times New Roman"/>
                <w:color w:val="FFFFFF"/>
                <w:sz w:val="32"/>
                <w:szCs w:val="32"/>
              </w:rPr>
              <w:lastRenderedPageBreak/>
              <w:t>MST Program Learning Goals</w:t>
            </w:r>
          </w:p>
        </w:tc>
      </w:tr>
      <w:tr w:rsidR="000A0746" w:rsidRPr="002422F7" w:rsidTr="00AC6564">
        <w:tc>
          <w:tcPr>
            <w:tcW w:w="445" w:type="dxa"/>
            <w:vAlign w:val="center"/>
          </w:tcPr>
          <w:p w:rsidR="000A0746" w:rsidRPr="00183406" w:rsidRDefault="000A0746" w:rsidP="00AC6564">
            <w:pPr>
              <w:pStyle w:val="table"/>
              <w:framePr w:hSpace="0" w:wrap="auto" w:vAnchor="margin" w:hAnchor="text" w:xAlign="left" w:yAlign="inline"/>
              <w:rPr>
                <w:rFonts w:ascii="Times New Roman" w:hAnsi="Times New Roman"/>
                <w:sz w:val="24"/>
                <w:szCs w:val="24"/>
              </w:rPr>
            </w:pPr>
            <w:r w:rsidRPr="00183406">
              <w:rPr>
                <w:rFonts w:ascii="Times New Roman" w:hAnsi="Times New Roman"/>
                <w:sz w:val="24"/>
                <w:szCs w:val="24"/>
              </w:rPr>
              <w:t>1</w:t>
            </w:r>
          </w:p>
        </w:tc>
        <w:tc>
          <w:tcPr>
            <w:tcW w:w="2431" w:type="dxa"/>
            <w:vAlign w:val="center"/>
          </w:tcPr>
          <w:p w:rsidR="000A0746" w:rsidRPr="00183406" w:rsidRDefault="000A0746" w:rsidP="00AC6564">
            <w:pPr>
              <w:pStyle w:val="table"/>
              <w:framePr w:hSpace="0" w:wrap="auto" w:vAnchor="margin" w:hAnchor="text" w:xAlign="left" w:yAlign="inline"/>
              <w:rPr>
                <w:rFonts w:ascii="Times New Roman" w:hAnsi="Times New Roman"/>
                <w:b/>
                <w:sz w:val="24"/>
                <w:szCs w:val="24"/>
              </w:rPr>
            </w:pPr>
            <w:r w:rsidRPr="00183406">
              <w:rPr>
                <w:rFonts w:ascii="Times New Roman" w:hAnsi="Times New Roman"/>
                <w:b/>
                <w:sz w:val="24"/>
                <w:szCs w:val="24"/>
              </w:rPr>
              <w:t>Complex and Multi-jurisdictional Tax Issues</w:t>
            </w:r>
          </w:p>
        </w:tc>
        <w:tc>
          <w:tcPr>
            <w:tcW w:w="7109" w:type="dxa"/>
            <w:tcMar>
              <w:top w:w="0" w:type="dxa"/>
              <w:bottom w:w="0" w:type="dxa"/>
            </w:tcMar>
            <w:vAlign w:val="center"/>
          </w:tcPr>
          <w:p w:rsidR="000A0746" w:rsidRPr="00183406" w:rsidRDefault="000A0746" w:rsidP="00AC6564">
            <w:r w:rsidRPr="00183406">
              <w:t xml:space="preserve">To identify, understand and resolve complex and multijurisdictional tax issues within the context of our global economy and society. </w:t>
            </w:r>
          </w:p>
        </w:tc>
      </w:tr>
      <w:tr w:rsidR="000A0746" w:rsidRPr="002422F7" w:rsidTr="00AC6564">
        <w:tc>
          <w:tcPr>
            <w:tcW w:w="445" w:type="dxa"/>
            <w:vAlign w:val="center"/>
          </w:tcPr>
          <w:p w:rsidR="000A0746" w:rsidRPr="00183406" w:rsidRDefault="000A0746" w:rsidP="00AC6564">
            <w:pPr>
              <w:pStyle w:val="table"/>
              <w:framePr w:hSpace="0" w:wrap="auto" w:vAnchor="margin" w:hAnchor="text" w:xAlign="left" w:yAlign="inline"/>
              <w:rPr>
                <w:rFonts w:ascii="Times New Roman" w:hAnsi="Times New Roman"/>
                <w:sz w:val="24"/>
                <w:szCs w:val="24"/>
              </w:rPr>
            </w:pPr>
            <w:r w:rsidRPr="00183406">
              <w:rPr>
                <w:rFonts w:ascii="Times New Roman" w:hAnsi="Times New Roman"/>
                <w:sz w:val="24"/>
                <w:szCs w:val="24"/>
              </w:rPr>
              <w:t>2</w:t>
            </w:r>
          </w:p>
        </w:tc>
        <w:tc>
          <w:tcPr>
            <w:tcW w:w="2431" w:type="dxa"/>
            <w:vAlign w:val="center"/>
          </w:tcPr>
          <w:p w:rsidR="000A0746" w:rsidRPr="00183406" w:rsidRDefault="000A0746" w:rsidP="00AC6564">
            <w:pPr>
              <w:pStyle w:val="table"/>
              <w:framePr w:hSpace="0" w:wrap="auto" w:vAnchor="margin" w:hAnchor="text" w:xAlign="left" w:yAlign="inline"/>
              <w:rPr>
                <w:rFonts w:ascii="Times New Roman" w:hAnsi="Times New Roman"/>
                <w:b/>
                <w:sz w:val="24"/>
                <w:szCs w:val="24"/>
              </w:rPr>
            </w:pPr>
            <w:r w:rsidRPr="00183406">
              <w:rPr>
                <w:rFonts w:ascii="Times New Roman" w:hAnsi="Times New Roman"/>
                <w:b/>
                <w:sz w:val="24"/>
                <w:szCs w:val="24"/>
              </w:rPr>
              <w:t>Research Skills</w:t>
            </w:r>
          </w:p>
        </w:tc>
        <w:tc>
          <w:tcPr>
            <w:tcW w:w="7109" w:type="dxa"/>
            <w:tcMar>
              <w:top w:w="0" w:type="dxa"/>
              <w:bottom w:w="0" w:type="dxa"/>
            </w:tcMar>
            <w:vAlign w:val="center"/>
          </w:tcPr>
          <w:p w:rsidR="000A0746" w:rsidRPr="00183406" w:rsidRDefault="000A0746" w:rsidP="00AC6564">
            <w:r w:rsidRPr="00183406">
              <w:t>To learn research skills for exploring both familiar and novel areas of the tax law and to communicate the findings in clear terms.</w:t>
            </w:r>
          </w:p>
        </w:tc>
      </w:tr>
      <w:tr w:rsidR="000A0746" w:rsidRPr="002422F7" w:rsidTr="00AC6564">
        <w:tc>
          <w:tcPr>
            <w:tcW w:w="445" w:type="dxa"/>
            <w:vAlign w:val="center"/>
          </w:tcPr>
          <w:p w:rsidR="000A0746" w:rsidRPr="00183406" w:rsidRDefault="000A0746" w:rsidP="00AC6564">
            <w:pPr>
              <w:pStyle w:val="table"/>
              <w:framePr w:hSpace="0" w:wrap="auto" w:vAnchor="margin" w:hAnchor="text" w:xAlign="left" w:yAlign="inline"/>
              <w:rPr>
                <w:rFonts w:ascii="Times New Roman" w:hAnsi="Times New Roman"/>
                <w:sz w:val="24"/>
                <w:szCs w:val="24"/>
              </w:rPr>
            </w:pPr>
            <w:r w:rsidRPr="00183406">
              <w:rPr>
                <w:rFonts w:ascii="Times New Roman" w:hAnsi="Times New Roman"/>
                <w:sz w:val="24"/>
                <w:szCs w:val="24"/>
              </w:rPr>
              <w:t>3</w:t>
            </w:r>
          </w:p>
        </w:tc>
        <w:tc>
          <w:tcPr>
            <w:tcW w:w="2431" w:type="dxa"/>
            <w:vAlign w:val="center"/>
          </w:tcPr>
          <w:p w:rsidR="000A0746" w:rsidRPr="00183406" w:rsidRDefault="000A0746" w:rsidP="00AC6564">
            <w:pPr>
              <w:pStyle w:val="table"/>
              <w:framePr w:hSpace="0" w:wrap="auto" w:vAnchor="margin" w:hAnchor="text" w:xAlign="left" w:yAlign="inline"/>
              <w:rPr>
                <w:rFonts w:ascii="Times New Roman" w:hAnsi="Times New Roman"/>
                <w:b/>
                <w:sz w:val="24"/>
                <w:szCs w:val="24"/>
              </w:rPr>
            </w:pPr>
            <w:r w:rsidRPr="00183406">
              <w:rPr>
                <w:rFonts w:ascii="Times New Roman" w:hAnsi="Times New Roman"/>
                <w:b/>
                <w:sz w:val="24"/>
                <w:szCs w:val="24"/>
              </w:rPr>
              <w:t>Analytical Skills</w:t>
            </w:r>
          </w:p>
        </w:tc>
        <w:tc>
          <w:tcPr>
            <w:tcW w:w="7109" w:type="dxa"/>
            <w:tcMar>
              <w:top w:w="0" w:type="dxa"/>
              <w:bottom w:w="0" w:type="dxa"/>
            </w:tcMar>
            <w:vAlign w:val="center"/>
          </w:tcPr>
          <w:p w:rsidR="000A0746" w:rsidRPr="00183406" w:rsidRDefault="000A0746" w:rsidP="00AC6564">
            <w:r w:rsidRPr="00183406">
              <w:t>To develop conceptual and analytic skills with real world applications.</w:t>
            </w:r>
          </w:p>
        </w:tc>
      </w:tr>
      <w:tr w:rsidR="000A0746" w:rsidRPr="002422F7" w:rsidTr="00AC6564">
        <w:tc>
          <w:tcPr>
            <w:tcW w:w="445" w:type="dxa"/>
            <w:vAlign w:val="center"/>
          </w:tcPr>
          <w:p w:rsidR="000A0746" w:rsidRPr="00183406" w:rsidRDefault="000A0746" w:rsidP="00AC6564">
            <w:pPr>
              <w:pStyle w:val="table"/>
              <w:framePr w:hSpace="0" w:wrap="auto" w:vAnchor="margin" w:hAnchor="text" w:xAlign="left" w:yAlign="inline"/>
              <w:rPr>
                <w:rFonts w:ascii="Times New Roman" w:hAnsi="Times New Roman"/>
                <w:sz w:val="24"/>
                <w:szCs w:val="24"/>
              </w:rPr>
            </w:pPr>
            <w:r w:rsidRPr="00183406">
              <w:rPr>
                <w:rFonts w:ascii="Times New Roman" w:hAnsi="Times New Roman"/>
                <w:sz w:val="24"/>
                <w:szCs w:val="24"/>
              </w:rPr>
              <w:t>4</w:t>
            </w:r>
          </w:p>
        </w:tc>
        <w:tc>
          <w:tcPr>
            <w:tcW w:w="2431" w:type="dxa"/>
            <w:vAlign w:val="center"/>
          </w:tcPr>
          <w:p w:rsidR="000A0746" w:rsidRPr="00183406" w:rsidRDefault="000A0746" w:rsidP="00AC6564">
            <w:pPr>
              <w:pStyle w:val="table"/>
              <w:framePr w:hSpace="0" w:wrap="auto" w:vAnchor="margin" w:hAnchor="text" w:xAlign="left" w:yAlign="inline"/>
              <w:rPr>
                <w:rFonts w:ascii="Times New Roman" w:hAnsi="Times New Roman"/>
                <w:b/>
                <w:sz w:val="24"/>
                <w:szCs w:val="24"/>
              </w:rPr>
            </w:pPr>
            <w:r w:rsidRPr="00183406">
              <w:rPr>
                <w:rFonts w:ascii="Times New Roman" w:hAnsi="Times New Roman"/>
                <w:b/>
                <w:sz w:val="24"/>
                <w:szCs w:val="24"/>
              </w:rPr>
              <w:t>Tax Policy</w:t>
            </w:r>
          </w:p>
        </w:tc>
        <w:tc>
          <w:tcPr>
            <w:tcW w:w="7109" w:type="dxa"/>
            <w:tcMar>
              <w:top w:w="0" w:type="dxa"/>
              <w:bottom w:w="0" w:type="dxa"/>
            </w:tcMar>
            <w:vAlign w:val="center"/>
          </w:tcPr>
          <w:p w:rsidR="000A0746" w:rsidRPr="00183406" w:rsidRDefault="000A0746" w:rsidP="00AC6564">
            <w:r w:rsidRPr="00183406">
              <w:t>To appreciate tax policy issues and foundations of the tax law.</w:t>
            </w:r>
          </w:p>
        </w:tc>
      </w:tr>
      <w:tr w:rsidR="000A0746" w:rsidRPr="002422F7" w:rsidTr="00AC6564">
        <w:tc>
          <w:tcPr>
            <w:tcW w:w="445" w:type="dxa"/>
            <w:vAlign w:val="center"/>
          </w:tcPr>
          <w:p w:rsidR="000A0746" w:rsidRPr="00183406" w:rsidRDefault="000A0746" w:rsidP="00AC6564">
            <w:pPr>
              <w:pStyle w:val="table"/>
              <w:framePr w:hSpace="0" w:wrap="auto" w:vAnchor="margin" w:hAnchor="text" w:xAlign="left" w:yAlign="inline"/>
              <w:rPr>
                <w:rFonts w:ascii="Times New Roman" w:hAnsi="Times New Roman"/>
                <w:sz w:val="24"/>
                <w:szCs w:val="24"/>
              </w:rPr>
            </w:pPr>
            <w:r w:rsidRPr="00183406">
              <w:rPr>
                <w:rFonts w:ascii="Times New Roman" w:hAnsi="Times New Roman"/>
                <w:sz w:val="24"/>
                <w:szCs w:val="24"/>
              </w:rPr>
              <w:t>5</w:t>
            </w:r>
          </w:p>
        </w:tc>
        <w:tc>
          <w:tcPr>
            <w:tcW w:w="2431" w:type="dxa"/>
            <w:vAlign w:val="center"/>
          </w:tcPr>
          <w:p w:rsidR="000A0746" w:rsidRPr="00183406" w:rsidRDefault="000A0746" w:rsidP="00AC6564">
            <w:pPr>
              <w:pStyle w:val="table"/>
              <w:framePr w:hSpace="0" w:wrap="auto" w:vAnchor="margin" w:hAnchor="text" w:xAlign="left" w:yAlign="inline"/>
              <w:rPr>
                <w:rFonts w:ascii="Times New Roman" w:hAnsi="Times New Roman"/>
                <w:b/>
                <w:sz w:val="24"/>
                <w:szCs w:val="24"/>
              </w:rPr>
            </w:pPr>
            <w:r w:rsidRPr="00183406">
              <w:rPr>
                <w:rFonts w:ascii="Times New Roman" w:hAnsi="Times New Roman"/>
                <w:b/>
                <w:sz w:val="24"/>
                <w:szCs w:val="24"/>
              </w:rPr>
              <w:t>Ethical Implications of Tax Practice</w:t>
            </w:r>
          </w:p>
        </w:tc>
        <w:tc>
          <w:tcPr>
            <w:tcW w:w="7109" w:type="dxa"/>
            <w:tcMar>
              <w:top w:w="0" w:type="dxa"/>
              <w:bottom w:w="0" w:type="dxa"/>
            </w:tcMar>
            <w:vAlign w:val="center"/>
          </w:tcPr>
          <w:p w:rsidR="000A0746" w:rsidRPr="00183406" w:rsidRDefault="000A0746" w:rsidP="00AC6564">
            <w:r w:rsidRPr="00183406">
              <w:t>To understand the ethical implications of tax practice.</w:t>
            </w:r>
          </w:p>
        </w:tc>
      </w:tr>
      <w:tr w:rsidR="000A0746" w:rsidRPr="002422F7" w:rsidTr="00AC6564">
        <w:tc>
          <w:tcPr>
            <w:tcW w:w="445" w:type="dxa"/>
            <w:vAlign w:val="center"/>
          </w:tcPr>
          <w:p w:rsidR="000A0746" w:rsidRPr="00183406" w:rsidRDefault="000A0746" w:rsidP="00AC6564">
            <w:pPr>
              <w:pStyle w:val="table"/>
              <w:framePr w:hSpace="0" w:wrap="auto" w:vAnchor="margin" w:hAnchor="text" w:xAlign="left" w:yAlign="inline"/>
              <w:rPr>
                <w:rFonts w:ascii="Times New Roman" w:hAnsi="Times New Roman"/>
                <w:sz w:val="24"/>
                <w:szCs w:val="24"/>
              </w:rPr>
            </w:pPr>
            <w:r w:rsidRPr="00183406">
              <w:rPr>
                <w:rFonts w:ascii="Times New Roman" w:hAnsi="Times New Roman"/>
                <w:sz w:val="24"/>
                <w:szCs w:val="24"/>
              </w:rPr>
              <w:t>6</w:t>
            </w:r>
          </w:p>
        </w:tc>
        <w:tc>
          <w:tcPr>
            <w:tcW w:w="2431" w:type="dxa"/>
            <w:vAlign w:val="center"/>
          </w:tcPr>
          <w:p w:rsidR="000A0746" w:rsidRPr="00183406" w:rsidRDefault="000A0746" w:rsidP="00AC6564">
            <w:pPr>
              <w:pStyle w:val="table"/>
              <w:framePr w:hSpace="0" w:wrap="auto" w:vAnchor="margin" w:hAnchor="text" w:xAlign="left" w:yAlign="inline"/>
              <w:rPr>
                <w:rFonts w:ascii="Times New Roman" w:hAnsi="Times New Roman"/>
                <w:b/>
                <w:sz w:val="24"/>
                <w:szCs w:val="24"/>
              </w:rPr>
            </w:pPr>
            <w:r w:rsidRPr="00183406">
              <w:rPr>
                <w:rFonts w:ascii="Times New Roman" w:hAnsi="Times New Roman"/>
                <w:b/>
                <w:sz w:val="24"/>
                <w:szCs w:val="24"/>
              </w:rPr>
              <w:t>Tax Practice and Career Advancement</w:t>
            </w:r>
          </w:p>
        </w:tc>
        <w:tc>
          <w:tcPr>
            <w:tcW w:w="7109" w:type="dxa"/>
            <w:tcMar>
              <w:top w:w="0" w:type="dxa"/>
              <w:bottom w:w="0" w:type="dxa"/>
            </w:tcMar>
            <w:vAlign w:val="center"/>
          </w:tcPr>
          <w:p w:rsidR="000A0746" w:rsidRPr="00183406" w:rsidRDefault="000A0746" w:rsidP="00AC6564">
            <w:r w:rsidRPr="00183406">
              <w:t>To develop skills for effective tax practice including keeping current, interacting with others, and career advancement.</w:t>
            </w:r>
          </w:p>
        </w:tc>
      </w:tr>
    </w:tbl>
    <w:p w:rsidR="00503E2E" w:rsidRPr="008D50B3" w:rsidRDefault="00B57962" w:rsidP="000A0746">
      <w:pPr>
        <w:spacing w:before="100" w:beforeAutospacing="1" w:after="100" w:afterAutospacing="1"/>
        <w:sectPr w:rsidR="00503E2E" w:rsidRPr="008D50B3" w:rsidSect="00503E2E">
          <w:headerReference w:type="even" r:id="rId12"/>
          <w:headerReference w:type="default" r:id="rId13"/>
          <w:footerReference w:type="even" r:id="rId14"/>
          <w:footerReference w:type="default" r:id="rId15"/>
          <w:headerReference w:type="first" r:id="rId16"/>
          <w:footerReference w:type="first" r:id="rId17"/>
          <w:pgSz w:w="12240" w:h="15840"/>
          <w:pgMar w:top="1440" w:right="1584" w:bottom="1008" w:left="1728" w:header="720" w:footer="720" w:gutter="0"/>
          <w:cols w:space="720"/>
          <w:docGrid w:linePitch="360"/>
        </w:sectPr>
      </w:pPr>
      <w:r w:rsidRPr="00A03F7D">
        <w:rPr>
          <w:b/>
          <w:bCs/>
        </w:rPr>
        <w:br/>
      </w:r>
    </w:p>
    <w:p w:rsidR="00503E2E" w:rsidRPr="008D50B3" w:rsidRDefault="00D43756" w:rsidP="008044F9">
      <w:pPr>
        <w:pStyle w:val="Heading1"/>
        <w:keepNext w:val="0"/>
        <w:spacing w:after="120"/>
        <w:rPr>
          <w:rFonts w:ascii="Times New Roman" w:hAnsi="Times New Roman" w:cs="Times New Roman"/>
        </w:rPr>
      </w:pPr>
      <w:r>
        <w:rPr>
          <w:rFonts w:ascii="Times New Roman" w:hAnsi="Times New Roman" w:cs="Times New Roman"/>
        </w:rPr>
        <w:lastRenderedPageBreak/>
        <w:t xml:space="preserve">BUS 225W – </w:t>
      </w:r>
      <w:r w:rsidR="0022194D">
        <w:rPr>
          <w:rFonts w:ascii="Times New Roman" w:hAnsi="Times New Roman" w:cs="Times New Roman"/>
        </w:rPr>
        <w:t xml:space="preserve">Intro to International Tax - Late Spring </w:t>
      </w:r>
      <w:r>
        <w:rPr>
          <w:rFonts w:ascii="Times New Roman" w:hAnsi="Times New Roman" w:cs="Times New Roman"/>
        </w:rPr>
        <w:t>201</w:t>
      </w:r>
      <w:r w:rsidR="0022194D">
        <w:rPr>
          <w:rFonts w:ascii="Times New Roman" w:hAnsi="Times New Roman" w:cs="Times New Roman"/>
        </w:rPr>
        <w:t>6</w:t>
      </w:r>
    </w:p>
    <w:tbl>
      <w:tblPr>
        <w:tblW w:w="15014" w:type="dxa"/>
        <w:tblInd w:w="-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0"/>
        <w:gridCol w:w="1260"/>
        <w:gridCol w:w="4934"/>
        <w:gridCol w:w="6030"/>
        <w:gridCol w:w="2340"/>
      </w:tblGrid>
      <w:tr w:rsidR="008D0E33" w:rsidRPr="00887631" w:rsidTr="00D1673F">
        <w:trPr>
          <w:trHeight w:val="728"/>
        </w:trPr>
        <w:tc>
          <w:tcPr>
            <w:tcW w:w="450" w:type="dxa"/>
          </w:tcPr>
          <w:p w:rsidR="008D0E33" w:rsidRPr="006441CC" w:rsidRDefault="008D0E33" w:rsidP="00503E2E">
            <w:pPr>
              <w:pStyle w:val="contactheading"/>
              <w:jc w:val="center"/>
              <w:rPr>
                <w:rFonts w:cs="Times New Roman"/>
                <w:sz w:val="22"/>
                <w:szCs w:val="22"/>
              </w:rPr>
            </w:pPr>
          </w:p>
        </w:tc>
        <w:tc>
          <w:tcPr>
            <w:tcW w:w="1260" w:type="dxa"/>
          </w:tcPr>
          <w:p w:rsidR="008D0E33" w:rsidRPr="00887631" w:rsidRDefault="008D0E33" w:rsidP="003630C8">
            <w:pPr>
              <w:pStyle w:val="contactheading"/>
              <w:jc w:val="center"/>
              <w:rPr>
                <w:rFonts w:cs="Times New Roman"/>
                <w:sz w:val="22"/>
                <w:szCs w:val="22"/>
              </w:rPr>
            </w:pPr>
            <w:r w:rsidRPr="00887631">
              <w:rPr>
                <w:rFonts w:cs="Times New Roman"/>
                <w:sz w:val="22"/>
                <w:szCs w:val="22"/>
              </w:rPr>
              <w:t>Date</w:t>
            </w:r>
          </w:p>
        </w:tc>
        <w:tc>
          <w:tcPr>
            <w:tcW w:w="4934" w:type="dxa"/>
          </w:tcPr>
          <w:p w:rsidR="008D0E33" w:rsidRPr="00887631" w:rsidRDefault="008D0E33" w:rsidP="003630C8">
            <w:pPr>
              <w:pStyle w:val="contactheading"/>
              <w:jc w:val="center"/>
              <w:rPr>
                <w:rFonts w:cs="Times New Roman"/>
                <w:sz w:val="22"/>
                <w:szCs w:val="22"/>
              </w:rPr>
            </w:pPr>
            <w:r w:rsidRPr="00887631">
              <w:rPr>
                <w:rFonts w:cs="Times New Roman"/>
                <w:sz w:val="22"/>
                <w:szCs w:val="22"/>
              </w:rPr>
              <w:t>Topic</w:t>
            </w:r>
            <w:r w:rsidR="00D1673F">
              <w:rPr>
                <w:rFonts w:cs="Times New Roman"/>
                <w:sz w:val="22"/>
                <w:szCs w:val="22"/>
              </w:rPr>
              <w:t xml:space="preserve"> / Learning Objectives</w:t>
            </w:r>
          </w:p>
        </w:tc>
        <w:tc>
          <w:tcPr>
            <w:tcW w:w="6030" w:type="dxa"/>
          </w:tcPr>
          <w:p w:rsidR="008D0E33" w:rsidRPr="00887631" w:rsidRDefault="008D0E33" w:rsidP="00503E2E">
            <w:pPr>
              <w:pStyle w:val="contactheading"/>
              <w:jc w:val="center"/>
              <w:rPr>
                <w:rFonts w:cs="Times New Roman"/>
                <w:sz w:val="22"/>
                <w:szCs w:val="22"/>
              </w:rPr>
            </w:pPr>
            <w:r>
              <w:rPr>
                <w:rFonts w:cs="Times New Roman"/>
                <w:sz w:val="22"/>
                <w:szCs w:val="22"/>
              </w:rPr>
              <w:t xml:space="preserve">Assigned Background </w:t>
            </w:r>
            <w:r w:rsidRPr="00887631">
              <w:rPr>
                <w:rFonts w:cs="Times New Roman"/>
                <w:sz w:val="22"/>
                <w:szCs w:val="22"/>
              </w:rPr>
              <w:t>Reading</w:t>
            </w:r>
          </w:p>
        </w:tc>
        <w:tc>
          <w:tcPr>
            <w:tcW w:w="2340" w:type="dxa"/>
          </w:tcPr>
          <w:p w:rsidR="008D0E33" w:rsidRPr="00887631" w:rsidRDefault="008D0E33" w:rsidP="008D0E33">
            <w:pPr>
              <w:pStyle w:val="contactheading"/>
              <w:jc w:val="center"/>
              <w:rPr>
                <w:rFonts w:cs="Times New Roman"/>
                <w:sz w:val="22"/>
                <w:szCs w:val="22"/>
              </w:rPr>
            </w:pPr>
            <w:r>
              <w:rPr>
                <w:rFonts w:cs="Times New Roman"/>
                <w:sz w:val="22"/>
                <w:szCs w:val="22"/>
              </w:rPr>
              <w:t>Graded Homework Due</w:t>
            </w:r>
          </w:p>
        </w:tc>
      </w:tr>
      <w:tr w:rsidR="008D0E33" w:rsidRPr="00592989" w:rsidTr="00D1673F">
        <w:tc>
          <w:tcPr>
            <w:tcW w:w="450" w:type="dxa"/>
          </w:tcPr>
          <w:p w:rsidR="008D0E33" w:rsidRPr="00592989" w:rsidRDefault="008D0E33" w:rsidP="00503E2E">
            <w:pPr>
              <w:pStyle w:val="Tabletext"/>
              <w:rPr>
                <w:b/>
                <w:sz w:val="22"/>
                <w:szCs w:val="22"/>
              </w:rPr>
            </w:pPr>
            <w:r w:rsidRPr="00592989">
              <w:rPr>
                <w:b/>
                <w:sz w:val="22"/>
                <w:szCs w:val="22"/>
              </w:rPr>
              <w:t>1</w:t>
            </w:r>
          </w:p>
          <w:p w:rsidR="008D0E33" w:rsidRPr="00592989" w:rsidRDefault="008D0E33" w:rsidP="00503E2E">
            <w:pPr>
              <w:rPr>
                <w:b/>
                <w:sz w:val="22"/>
                <w:szCs w:val="22"/>
              </w:rPr>
            </w:pPr>
          </w:p>
        </w:tc>
        <w:tc>
          <w:tcPr>
            <w:tcW w:w="1260" w:type="dxa"/>
          </w:tcPr>
          <w:p w:rsidR="008D0E33" w:rsidRPr="00592989" w:rsidRDefault="008D0E33" w:rsidP="00843C02">
            <w:pPr>
              <w:pStyle w:val="Tabletext"/>
              <w:jc w:val="center"/>
              <w:rPr>
                <w:sz w:val="22"/>
                <w:szCs w:val="22"/>
              </w:rPr>
            </w:pPr>
            <w:r w:rsidRPr="00592989">
              <w:rPr>
                <w:sz w:val="22"/>
                <w:szCs w:val="22"/>
              </w:rPr>
              <w:t>Tuesday April 19</w:t>
            </w:r>
          </w:p>
        </w:tc>
        <w:tc>
          <w:tcPr>
            <w:tcW w:w="4934" w:type="dxa"/>
          </w:tcPr>
          <w:p w:rsidR="008D0E33" w:rsidRPr="00592989" w:rsidRDefault="008D0E33" w:rsidP="003630C8">
            <w:pPr>
              <w:pStyle w:val="Tabletext"/>
              <w:ind w:left="-18"/>
              <w:rPr>
                <w:sz w:val="22"/>
                <w:szCs w:val="22"/>
                <w:u w:val="single"/>
              </w:rPr>
            </w:pPr>
            <w:r w:rsidRPr="00592989">
              <w:rPr>
                <w:sz w:val="22"/>
                <w:szCs w:val="22"/>
                <w:u w:val="single"/>
              </w:rPr>
              <w:t>Introduction to the course and key concepts</w:t>
            </w:r>
          </w:p>
          <w:p w:rsidR="008D0E33" w:rsidRPr="00592989" w:rsidRDefault="008D0E33" w:rsidP="003630C8">
            <w:pPr>
              <w:numPr>
                <w:ilvl w:val="0"/>
                <w:numId w:val="19"/>
              </w:numPr>
              <w:rPr>
                <w:sz w:val="22"/>
                <w:szCs w:val="22"/>
              </w:rPr>
            </w:pPr>
            <w:r w:rsidRPr="00592989">
              <w:rPr>
                <w:sz w:val="22"/>
                <w:szCs w:val="22"/>
              </w:rPr>
              <w:t>Source vs. Residence taxation</w:t>
            </w:r>
          </w:p>
          <w:p w:rsidR="008D0E33" w:rsidRPr="00592989" w:rsidRDefault="008D0E33" w:rsidP="003630C8">
            <w:pPr>
              <w:numPr>
                <w:ilvl w:val="0"/>
                <w:numId w:val="19"/>
              </w:numPr>
              <w:rPr>
                <w:sz w:val="22"/>
                <w:szCs w:val="22"/>
              </w:rPr>
            </w:pPr>
            <w:r w:rsidRPr="00592989">
              <w:rPr>
                <w:sz w:val="22"/>
                <w:szCs w:val="22"/>
              </w:rPr>
              <w:t xml:space="preserve">Separate entity principle </w:t>
            </w:r>
          </w:p>
          <w:p w:rsidR="008D0E33" w:rsidRPr="00592989" w:rsidRDefault="008D0E33" w:rsidP="003630C8">
            <w:pPr>
              <w:numPr>
                <w:ilvl w:val="0"/>
                <w:numId w:val="19"/>
              </w:numPr>
              <w:rPr>
                <w:sz w:val="22"/>
                <w:szCs w:val="22"/>
              </w:rPr>
            </w:pPr>
            <w:r w:rsidRPr="00592989">
              <w:rPr>
                <w:sz w:val="22"/>
                <w:szCs w:val="22"/>
              </w:rPr>
              <w:t xml:space="preserve">Treatment of foreign branches and subsidiaries </w:t>
            </w:r>
          </w:p>
          <w:p w:rsidR="008D0E33" w:rsidRPr="00592989" w:rsidRDefault="008D0E33" w:rsidP="003630C8">
            <w:pPr>
              <w:rPr>
                <w:sz w:val="22"/>
                <w:szCs w:val="22"/>
              </w:rPr>
            </w:pPr>
            <w:r w:rsidRPr="00592989">
              <w:rPr>
                <w:sz w:val="22"/>
                <w:szCs w:val="22"/>
              </w:rPr>
              <w:t>Overall tax policy goals of the international tax system (Capital Export Neutrality vs. Capital Import Neutrality)</w:t>
            </w:r>
          </w:p>
          <w:p w:rsidR="008D0E33" w:rsidRPr="00592989" w:rsidRDefault="008D0E33" w:rsidP="00843C02">
            <w:pPr>
              <w:rPr>
                <w:sz w:val="22"/>
                <w:szCs w:val="22"/>
              </w:rPr>
            </w:pPr>
            <w:r w:rsidRPr="00592989">
              <w:rPr>
                <w:sz w:val="22"/>
                <w:szCs w:val="22"/>
              </w:rPr>
              <w:t>US tax residency rules for individuals and entities</w:t>
            </w:r>
            <w:r>
              <w:rPr>
                <w:sz w:val="22"/>
                <w:szCs w:val="22"/>
              </w:rPr>
              <w:t xml:space="preserve"> (Substantial Presence Test and Greencard test)</w:t>
            </w:r>
          </w:p>
          <w:p w:rsidR="008D0E33" w:rsidRPr="00592989" w:rsidRDefault="008D0E33" w:rsidP="00843C02">
            <w:pPr>
              <w:rPr>
                <w:sz w:val="22"/>
                <w:szCs w:val="22"/>
              </w:rPr>
            </w:pPr>
            <w:r w:rsidRPr="00592989">
              <w:rPr>
                <w:sz w:val="22"/>
                <w:szCs w:val="22"/>
              </w:rPr>
              <w:t>Impact of US entity classification rules on international taxation</w:t>
            </w:r>
          </w:p>
          <w:p w:rsidR="008D0E33" w:rsidRPr="00592989" w:rsidRDefault="008D0E33" w:rsidP="00843C02">
            <w:pPr>
              <w:rPr>
                <w:sz w:val="22"/>
                <w:szCs w:val="22"/>
              </w:rPr>
            </w:pPr>
            <w:r w:rsidRPr="00592989">
              <w:rPr>
                <w:sz w:val="22"/>
                <w:szCs w:val="22"/>
              </w:rPr>
              <w:t>Preview basic examples of direct and indirect foreign tax credit calculation, U.S. taxation at source, and indirect credit</w:t>
            </w:r>
          </w:p>
        </w:tc>
        <w:tc>
          <w:tcPr>
            <w:tcW w:w="6030" w:type="dxa"/>
          </w:tcPr>
          <w:p w:rsidR="008D0E33" w:rsidRPr="00592989" w:rsidRDefault="008D0E33" w:rsidP="00B22296">
            <w:pPr>
              <w:rPr>
                <w:sz w:val="22"/>
                <w:szCs w:val="22"/>
              </w:rPr>
            </w:pPr>
            <w:r w:rsidRPr="00592989">
              <w:rPr>
                <w:sz w:val="22"/>
                <w:szCs w:val="22"/>
              </w:rPr>
              <w:t>NUTSHELL, Chapters 1 and 2</w:t>
            </w:r>
            <w:r>
              <w:rPr>
                <w:sz w:val="22"/>
                <w:szCs w:val="22"/>
              </w:rPr>
              <w:t>, Chapter 13 (Page 511- Page 525 (end of discussion of check-the-box elections)</w:t>
            </w:r>
          </w:p>
          <w:p w:rsidR="008D0E33" w:rsidRDefault="008D0E33" w:rsidP="008D0E33">
            <w:pPr>
              <w:pStyle w:val="Tabletext"/>
              <w:rPr>
                <w:sz w:val="22"/>
                <w:szCs w:val="22"/>
              </w:rPr>
            </w:pPr>
            <w:r w:rsidRPr="00592989">
              <w:rPr>
                <w:sz w:val="22"/>
                <w:szCs w:val="22"/>
              </w:rPr>
              <w:t>BNA – FOUNDATIONS, Chapter I (Essential Elements of US International Taxation)</w:t>
            </w:r>
          </w:p>
          <w:p w:rsidR="008D0E33" w:rsidRDefault="008D0E33" w:rsidP="008D0E33">
            <w:pPr>
              <w:pStyle w:val="Tabletext"/>
              <w:rPr>
                <w:sz w:val="22"/>
                <w:szCs w:val="22"/>
              </w:rPr>
            </w:pPr>
            <w:r>
              <w:rPr>
                <w:sz w:val="22"/>
                <w:szCs w:val="22"/>
              </w:rPr>
              <w:t>BNA Portfolio No. 704, Part II.B – Initial Classification of a Disregarded Entity</w:t>
            </w:r>
          </w:p>
          <w:p w:rsidR="008D0E33" w:rsidRPr="00592989" w:rsidRDefault="008D0E33" w:rsidP="008D0E33">
            <w:pPr>
              <w:pStyle w:val="Tabletext"/>
              <w:rPr>
                <w:sz w:val="22"/>
                <w:szCs w:val="22"/>
              </w:rPr>
            </w:pPr>
            <w:r w:rsidRPr="00592989">
              <w:rPr>
                <w:sz w:val="22"/>
                <w:szCs w:val="22"/>
              </w:rPr>
              <w:t xml:space="preserve">IRS IPU Manuals on Determining Tax Residency of Lawful Permanent Residents (2014), Substantial Presence Test (2014) and First-Year Election under § 7701(b)(4)  </w:t>
            </w:r>
          </w:p>
        </w:tc>
        <w:tc>
          <w:tcPr>
            <w:tcW w:w="2340" w:type="dxa"/>
          </w:tcPr>
          <w:p w:rsidR="008D0E33" w:rsidRPr="00592989" w:rsidRDefault="00B355FD" w:rsidP="00F81F3C">
            <w:pPr>
              <w:pStyle w:val="Tabletext"/>
              <w:rPr>
                <w:sz w:val="22"/>
                <w:szCs w:val="22"/>
              </w:rPr>
            </w:pPr>
            <w:r>
              <w:rPr>
                <w:sz w:val="22"/>
                <w:szCs w:val="22"/>
              </w:rPr>
              <w:t>No</w:t>
            </w:r>
            <w:r w:rsidR="00DC5D53">
              <w:rPr>
                <w:sz w:val="22"/>
                <w:szCs w:val="22"/>
              </w:rPr>
              <w:t>ne</w:t>
            </w:r>
            <w:r>
              <w:rPr>
                <w:sz w:val="22"/>
                <w:szCs w:val="22"/>
              </w:rPr>
              <w:t xml:space="preserve">, but please complete </w:t>
            </w:r>
            <w:r w:rsidRPr="00B355FD">
              <w:rPr>
                <w:sz w:val="22"/>
                <w:szCs w:val="22"/>
                <w:u w:val="single"/>
              </w:rPr>
              <w:t>preparation assignment #1</w:t>
            </w:r>
            <w:r>
              <w:rPr>
                <w:sz w:val="22"/>
                <w:szCs w:val="22"/>
              </w:rPr>
              <w:t xml:space="preserve"> (available on Canvas) in advance of class.</w:t>
            </w:r>
          </w:p>
        </w:tc>
      </w:tr>
    </w:tbl>
    <w:p w:rsidR="00D1673F" w:rsidRDefault="00D1673F">
      <w:r>
        <w:br w:type="page"/>
      </w:r>
    </w:p>
    <w:tbl>
      <w:tblPr>
        <w:tblW w:w="15104" w:type="dxa"/>
        <w:tblInd w:w="-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4"/>
        <w:gridCol w:w="990"/>
        <w:gridCol w:w="90"/>
        <w:gridCol w:w="5040"/>
        <w:gridCol w:w="5490"/>
        <w:gridCol w:w="3150"/>
      </w:tblGrid>
      <w:tr w:rsidR="008D0E33" w:rsidRPr="00592989" w:rsidTr="00476953">
        <w:tc>
          <w:tcPr>
            <w:tcW w:w="344" w:type="dxa"/>
          </w:tcPr>
          <w:p w:rsidR="008D0E33" w:rsidRPr="00592989" w:rsidRDefault="008D0E33" w:rsidP="00503E2E">
            <w:pPr>
              <w:pStyle w:val="Tabletext"/>
              <w:rPr>
                <w:b/>
                <w:sz w:val="22"/>
                <w:szCs w:val="22"/>
              </w:rPr>
            </w:pPr>
            <w:r w:rsidRPr="00592989">
              <w:rPr>
                <w:b/>
                <w:sz w:val="22"/>
                <w:szCs w:val="22"/>
              </w:rPr>
              <w:t>2</w:t>
            </w:r>
          </w:p>
          <w:p w:rsidR="008D0E33" w:rsidRPr="00592989" w:rsidRDefault="008D0E33" w:rsidP="00503E2E">
            <w:pPr>
              <w:rPr>
                <w:b/>
                <w:sz w:val="22"/>
                <w:szCs w:val="22"/>
              </w:rPr>
            </w:pPr>
          </w:p>
        </w:tc>
        <w:tc>
          <w:tcPr>
            <w:tcW w:w="990" w:type="dxa"/>
          </w:tcPr>
          <w:p w:rsidR="008D0E33" w:rsidRPr="00592989" w:rsidRDefault="008D0E33" w:rsidP="00EE221A">
            <w:pPr>
              <w:rPr>
                <w:sz w:val="22"/>
                <w:szCs w:val="22"/>
              </w:rPr>
            </w:pPr>
            <w:r w:rsidRPr="00592989">
              <w:rPr>
                <w:sz w:val="22"/>
                <w:szCs w:val="22"/>
              </w:rPr>
              <w:t>Tuesday April 26</w:t>
            </w:r>
          </w:p>
        </w:tc>
        <w:tc>
          <w:tcPr>
            <w:tcW w:w="5130" w:type="dxa"/>
            <w:gridSpan w:val="2"/>
          </w:tcPr>
          <w:p w:rsidR="008D0E33" w:rsidRPr="00592989" w:rsidRDefault="008D0E33" w:rsidP="001E30E5">
            <w:pPr>
              <w:pStyle w:val="Tabletext"/>
              <w:spacing w:before="0" w:after="120"/>
              <w:rPr>
                <w:sz w:val="22"/>
                <w:szCs w:val="22"/>
                <w:u w:val="single"/>
              </w:rPr>
            </w:pPr>
            <w:r w:rsidRPr="00592989">
              <w:rPr>
                <w:sz w:val="22"/>
                <w:szCs w:val="22"/>
                <w:u w:val="single"/>
              </w:rPr>
              <w:t>Source of Income</w:t>
            </w:r>
          </w:p>
          <w:p w:rsidR="008D0E33" w:rsidRPr="00592989" w:rsidRDefault="008D0E33" w:rsidP="00E42C9A">
            <w:pPr>
              <w:numPr>
                <w:ilvl w:val="0"/>
                <w:numId w:val="6"/>
              </w:numPr>
              <w:ind w:left="342" w:hanging="368"/>
              <w:jc w:val="both"/>
              <w:rPr>
                <w:color w:val="000000"/>
                <w:sz w:val="22"/>
                <w:szCs w:val="22"/>
              </w:rPr>
            </w:pPr>
            <w:r w:rsidRPr="00592989">
              <w:rPr>
                <w:color w:val="000000"/>
                <w:sz w:val="22"/>
                <w:szCs w:val="22"/>
              </w:rPr>
              <w:t>Why source of income is important to U.S. and foreign taxpayers</w:t>
            </w:r>
          </w:p>
          <w:p w:rsidR="008D0E33" w:rsidRPr="00592989" w:rsidRDefault="008D0E33" w:rsidP="00E42C9A">
            <w:pPr>
              <w:numPr>
                <w:ilvl w:val="0"/>
                <w:numId w:val="6"/>
              </w:numPr>
              <w:ind w:left="342" w:hanging="368"/>
              <w:jc w:val="both"/>
              <w:rPr>
                <w:color w:val="000000"/>
                <w:sz w:val="22"/>
                <w:szCs w:val="22"/>
                <w:u w:val="single"/>
              </w:rPr>
            </w:pPr>
            <w:r w:rsidRPr="00592989">
              <w:rPr>
                <w:color w:val="000000"/>
                <w:sz w:val="22"/>
                <w:szCs w:val="22"/>
              </w:rPr>
              <w:t>Source rules for inventory property: title passage, §</w:t>
            </w:r>
            <w:r w:rsidR="00DC5D53">
              <w:rPr>
                <w:color w:val="000000"/>
                <w:sz w:val="22"/>
                <w:szCs w:val="22"/>
              </w:rPr>
              <w:t xml:space="preserve"> </w:t>
            </w:r>
            <w:r w:rsidRPr="00592989">
              <w:rPr>
                <w:color w:val="000000"/>
                <w:sz w:val="22"/>
                <w:szCs w:val="22"/>
              </w:rPr>
              <w:t>863(b)</w:t>
            </w:r>
          </w:p>
          <w:p w:rsidR="008D0E33" w:rsidRPr="00592989" w:rsidRDefault="008D0E33" w:rsidP="00E42C9A">
            <w:pPr>
              <w:numPr>
                <w:ilvl w:val="0"/>
                <w:numId w:val="6"/>
              </w:numPr>
              <w:ind w:left="342" w:hanging="368"/>
              <w:jc w:val="both"/>
              <w:rPr>
                <w:color w:val="000000"/>
                <w:sz w:val="22"/>
                <w:szCs w:val="22"/>
                <w:u w:val="single"/>
              </w:rPr>
            </w:pPr>
            <w:r w:rsidRPr="00592989">
              <w:rPr>
                <w:color w:val="000000"/>
                <w:sz w:val="22"/>
                <w:szCs w:val="22"/>
              </w:rPr>
              <w:t>Source rules for personal services</w:t>
            </w:r>
            <w:r w:rsidR="00DC5D53">
              <w:rPr>
                <w:color w:val="000000"/>
                <w:sz w:val="22"/>
                <w:szCs w:val="22"/>
              </w:rPr>
              <w:t xml:space="preserve"> performed by individuals and entities</w:t>
            </w:r>
          </w:p>
          <w:p w:rsidR="008D0E33" w:rsidRPr="00592989" w:rsidRDefault="008D0E33" w:rsidP="00EE221A">
            <w:pPr>
              <w:numPr>
                <w:ilvl w:val="0"/>
                <w:numId w:val="6"/>
              </w:numPr>
              <w:ind w:left="342" w:hanging="368"/>
              <w:jc w:val="both"/>
              <w:rPr>
                <w:color w:val="000000"/>
                <w:sz w:val="22"/>
                <w:szCs w:val="22"/>
                <w:u w:val="single"/>
              </w:rPr>
            </w:pPr>
            <w:r w:rsidRPr="00592989">
              <w:rPr>
                <w:color w:val="000000"/>
                <w:sz w:val="22"/>
                <w:szCs w:val="22"/>
              </w:rPr>
              <w:t>Source rules for investment income</w:t>
            </w:r>
            <w:r w:rsidR="00DC5D53">
              <w:rPr>
                <w:color w:val="000000"/>
                <w:sz w:val="22"/>
                <w:szCs w:val="22"/>
              </w:rPr>
              <w:t xml:space="preserve"> (interest, dividends and gains from the sale of personal property)</w:t>
            </w:r>
          </w:p>
          <w:p w:rsidR="008D0E33" w:rsidRPr="00592989" w:rsidRDefault="00B355FD" w:rsidP="00EE221A">
            <w:pPr>
              <w:numPr>
                <w:ilvl w:val="0"/>
                <w:numId w:val="6"/>
              </w:numPr>
              <w:ind w:left="342" w:hanging="368"/>
              <w:jc w:val="both"/>
              <w:rPr>
                <w:color w:val="000000"/>
                <w:sz w:val="22"/>
                <w:szCs w:val="22"/>
                <w:u w:val="single"/>
              </w:rPr>
            </w:pPr>
            <w:r>
              <w:rPr>
                <w:color w:val="000000"/>
                <w:sz w:val="22"/>
                <w:szCs w:val="22"/>
              </w:rPr>
              <w:t>Understand how the US tax rules treat transactions in software programs, and how this treatment impacts source of income</w:t>
            </w:r>
          </w:p>
          <w:p w:rsidR="008D0E33" w:rsidRPr="00592989" w:rsidRDefault="008D0E33" w:rsidP="00EE221A">
            <w:pPr>
              <w:jc w:val="both"/>
              <w:rPr>
                <w:color w:val="000000"/>
                <w:sz w:val="22"/>
                <w:szCs w:val="22"/>
                <w:u w:val="single"/>
              </w:rPr>
            </w:pPr>
            <w:r w:rsidRPr="00592989">
              <w:rPr>
                <w:color w:val="000000"/>
                <w:sz w:val="22"/>
                <w:szCs w:val="22"/>
                <w:u w:val="single"/>
              </w:rPr>
              <w:t>Allocation of Expenses</w:t>
            </w:r>
          </w:p>
          <w:p w:rsidR="008D0E33" w:rsidRPr="00592989" w:rsidRDefault="008D0E33" w:rsidP="00EE221A">
            <w:pPr>
              <w:numPr>
                <w:ilvl w:val="0"/>
                <w:numId w:val="6"/>
              </w:numPr>
              <w:ind w:left="342" w:hanging="368"/>
              <w:jc w:val="both"/>
              <w:rPr>
                <w:color w:val="000000"/>
                <w:sz w:val="22"/>
                <w:szCs w:val="22"/>
              </w:rPr>
            </w:pPr>
            <w:r w:rsidRPr="00592989">
              <w:rPr>
                <w:color w:val="000000"/>
                <w:sz w:val="22"/>
                <w:szCs w:val="22"/>
              </w:rPr>
              <w:t>Why allocation of expenses is necessary in the cross-border context</w:t>
            </w:r>
          </w:p>
          <w:p w:rsidR="008D0E33" w:rsidRPr="00592989" w:rsidRDefault="008D0E33" w:rsidP="00EE221A">
            <w:pPr>
              <w:numPr>
                <w:ilvl w:val="0"/>
                <w:numId w:val="6"/>
              </w:numPr>
              <w:ind w:left="342" w:hanging="368"/>
              <w:jc w:val="both"/>
              <w:rPr>
                <w:color w:val="000000"/>
                <w:sz w:val="22"/>
                <w:szCs w:val="22"/>
              </w:rPr>
            </w:pPr>
            <w:r w:rsidRPr="00592989">
              <w:rPr>
                <w:color w:val="000000"/>
                <w:sz w:val="22"/>
                <w:szCs w:val="22"/>
              </w:rPr>
              <w:t>Allocation process for General and Administrative expenses</w:t>
            </w:r>
          </w:p>
          <w:p w:rsidR="008D0E33" w:rsidRDefault="00B355FD" w:rsidP="00B355FD">
            <w:pPr>
              <w:numPr>
                <w:ilvl w:val="0"/>
                <w:numId w:val="6"/>
              </w:numPr>
              <w:ind w:left="342" w:hanging="368"/>
              <w:jc w:val="both"/>
              <w:rPr>
                <w:color w:val="000000"/>
                <w:sz w:val="22"/>
                <w:szCs w:val="22"/>
              </w:rPr>
            </w:pPr>
            <w:r>
              <w:rPr>
                <w:color w:val="000000"/>
                <w:sz w:val="22"/>
                <w:szCs w:val="22"/>
              </w:rPr>
              <w:t xml:space="preserve">Understand how the “asset method” applies for allocation of </w:t>
            </w:r>
            <w:r w:rsidR="008D0E33" w:rsidRPr="00592989">
              <w:rPr>
                <w:color w:val="000000"/>
                <w:sz w:val="22"/>
                <w:szCs w:val="22"/>
              </w:rPr>
              <w:t>Interest Expense</w:t>
            </w:r>
            <w:r>
              <w:rPr>
                <w:color w:val="000000"/>
                <w:sz w:val="22"/>
                <w:szCs w:val="22"/>
              </w:rPr>
              <w:t xml:space="preserve"> to foreign source income</w:t>
            </w:r>
          </w:p>
          <w:p w:rsidR="00BB6710" w:rsidRPr="00592989" w:rsidRDefault="00BB6710" w:rsidP="00B355FD">
            <w:pPr>
              <w:numPr>
                <w:ilvl w:val="0"/>
                <w:numId w:val="6"/>
              </w:numPr>
              <w:ind w:left="342" w:hanging="368"/>
              <w:jc w:val="both"/>
              <w:rPr>
                <w:color w:val="000000"/>
                <w:sz w:val="22"/>
                <w:szCs w:val="22"/>
              </w:rPr>
            </w:pPr>
            <w:r>
              <w:rPr>
                <w:color w:val="000000"/>
                <w:sz w:val="22"/>
                <w:szCs w:val="22"/>
              </w:rPr>
              <w:t>How are losses sourced</w:t>
            </w:r>
          </w:p>
        </w:tc>
        <w:tc>
          <w:tcPr>
            <w:tcW w:w="5490" w:type="dxa"/>
          </w:tcPr>
          <w:p w:rsidR="008D0E33" w:rsidRDefault="008D0E33" w:rsidP="001E30E5">
            <w:pPr>
              <w:pStyle w:val="Tabletext"/>
              <w:spacing w:before="0" w:after="120"/>
              <w:rPr>
                <w:sz w:val="22"/>
                <w:szCs w:val="22"/>
              </w:rPr>
            </w:pPr>
            <w:r w:rsidRPr="00592989">
              <w:rPr>
                <w:sz w:val="22"/>
                <w:szCs w:val="22"/>
              </w:rPr>
              <w:t>NUTSHELL, CHAPTER 3</w:t>
            </w:r>
          </w:p>
          <w:p w:rsidR="00476275" w:rsidRPr="00476275" w:rsidRDefault="00476275" w:rsidP="00476275">
            <w:r>
              <w:t>BNA  Portfolio 905-2d, Source of Income Rules: Part XIV Transactions in Computer Programs</w:t>
            </w:r>
          </w:p>
          <w:p w:rsidR="008D0E33" w:rsidRPr="00592989" w:rsidRDefault="008D0E33" w:rsidP="00677433">
            <w:pPr>
              <w:rPr>
                <w:sz w:val="22"/>
                <w:szCs w:val="22"/>
              </w:rPr>
            </w:pPr>
            <w:r w:rsidRPr="00592989">
              <w:rPr>
                <w:sz w:val="22"/>
                <w:szCs w:val="22"/>
                <w:u w:val="single"/>
              </w:rPr>
              <w:t>A.P. Green Export Co. v. United States</w:t>
            </w:r>
            <w:r w:rsidRPr="00592989">
              <w:rPr>
                <w:sz w:val="22"/>
                <w:szCs w:val="22"/>
              </w:rPr>
              <w:t xml:space="preserve">, 284 F.2d 383 (Ct. Cl. 1960) </w:t>
            </w:r>
          </w:p>
          <w:p w:rsidR="00DC5D53" w:rsidRDefault="00DC5D53" w:rsidP="00FD0DC7">
            <w:pPr>
              <w:rPr>
                <w:sz w:val="22"/>
                <w:szCs w:val="22"/>
              </w:rPr>
            </w:pPr>
            <w:r w:rsidRPr="00DC5D53">
              <w:rPr>
                <w:sz w:val="22"/>
                <w:szCs w:val="22"/>
                <w:u w:val="single"/>
              </w:rPr>
              <w:t>Intel Corp v. Commissioner</w:t>
            </w:r>
            <w:r>
              <w:rPr>
                <w:sz w:val="22"/>
                <w:szCs w:val="22"/>
              </w:rPr>
              <w:t xml:space="preserve">, </w:t>
            </w:r>
            <w:r w:rsidRPr="00DC5D53">
              <w:rPr>
                <w:sz w:val="22"/>
                <w:szCs w:val="22"/>
              </w:rPr>
              <w:t>CA-9,</w:t>
            </w:r>
            <w:r>
              <w:rPr>
                <w:sz w:val="22"/>
                <w:szCs w:val="22"/>
              </w:rPr>
              <w:t xml:space="preserve"> 95-2 USTC ¶50,581, 67 F3d 1445 (only read discussion of Section 863(b), not DISC / R&amp;E expense allocation issue)</w:t>
            </w:r>
          </w:p>
          <w:p w:rsidR="00DC5D53" w:rsidRDefault="00BB6710" w:rsidP="00FD0DC7">
            <w:pPr>
              <w:rPr>
                <w:sz w:val="22"/>
                <w:szCs w:val="22"/>
              </w:rPr>
            </w:pPr>
            <w:r w:rsidRPr="00BB6710">
              <w:rPr>
                <w:sz w:val="22"/>
                <w:szCs w:val="22"/>
                <w:u w:val="single"/>
              </w:rPr>
              <w:t>International Multifoods Co. v Comm</w:t>
            </w:r>
            <w:r>
              <w:rPr>
                <w:sz w:val="22"/>
                <w:szCs w:val="22"/>
                <w:u w:val="single"/>
              </w:rPr>
              <w:t>issione</w:t>
            </w:r>
            <w:r w:rsidRPr="00BB6710">
              <w:rPr>
                <w:sz w:val="22"/>
                <w:szCs w:val="22"/>
                <w:u w:val="single"/>
              </w:rPr>
              <w:t>r</w:t>
            </w:r>
            <w:r w:rsidRPr="00BB6710">
              <w:rPr>
                <w:sz w:val="22"/>
                <w:szCs w:val="22"/>
              </w:rPr>
              <w:t>, 108 TC 25, Dec. 51,855 (1997).</w:t>
            </w:r>
          </w:p>
          <w:p w:rsidR="008D0E33" w:rsidRPr="00592989" w:rsidRDefault="008D0E33" w:rsidP="00FD0DC7">
            <w:pPr>
              <w:rPr>
                <w:sz w:val="22"/>
                <w:szCs w:val="22"/>
              </w:rPr>
            </w:pPr>
            <w:r w:rsidRPr="00592989">
              <w:rPr>
                <w:sz w:val="22"/>
                <w:szCs w:val="22"/>
              </w:rPr>
              <w:t>IRS IPU Manual, “Overview of Interest Expense Allocation and Apportionment in Calculation of the FTC Limitation” (December 2014)</w:t>
            </w:r>
          </w:p>
          <w:p w:rsidR="008D0E33" w:rsidRDefault="008D0E33" w:rsidP="00FD0DC7">
            <w:pPr>
              <w:rPr>
                <w:sz w:val="22"/>
                <w:szCs w:val="22"/>
              </w:rPr>
            </w:pPr>
            <w:r w:rsidRPr="00592989">
              <w:rPr>
                <w:sz w:val="22"/>
                <w:szCs w:val="22"/>
              </w:rPr>
              <w:t>“Section 861 Home Office and Stewardship Expenses” (December 2014)</w:t>
            </w:r>
          </w:p>
          <w:p w:rsidR="00DC5D53" w:rsidRPr="00592989" w:rsidRDefault="00BB6710" w:rsidP="00BB6710">
            <w:pPr>
              <w:rPr>
                <w:sz w:val="22"/>
                <w:szCs w:val="22"/>
              </w:rPr>
            </w:pPr>
            <w:r>
              <w:rPr>
                <w:sz w:val="22"/>
                <w:szCs w:val="22"/>
              </w:rPr>
              <w:t xml:space="preserve">Preamble, Notice of Proposed Rulemaking on Classification of Software Programs , </w:t>
            </w:r>
            <w:r w:rsidRPr="00BB6710">
              <w:rPr>
                <w:sz w:val="22"/>
                <w:szCs w:val="22"/>
              </w:rPr>
              <w:t>NPRM REG-251520-96</w:t>
            </w:r>
            <w:r>
              <w:rPr>
                <w:sz w:val="22"/>
                <w:szCs w:val="22"/>
              </w:rPr>
              <w:t xml:space="preserve"> (Nov. 8, 1996), IRB 1996-48</w:t>
            </w:r>
          </w:p>
        </w:tc>
        <w:tc>
          <w:tcPr>
            <w:tcW w:w="3150" w:type="dxa"/>
          </w:tcPr>
          <w:p w:rsidR="008D0E33" w:rsidRPr="00592989" w:rsidRDefault="005054C1" w:rsidP="001E30E5">
            <w:pPr>
              <w:pStyle w:val="Tabletext"/>
              <w:spacing w:before="0" w:after="120"/>
              <w:rPr>
                <w:sz w:val="22"/>
                <w:szCs w:val="22"/>
              </w:rPr>
            </w:pPr>
            <w:r>
              <w:rPr>
                <w:sz w:val="22"/>
                <w:szCs w:val="22"/>
              </w:rPr>
              <w:t xml:space="preserve">No, but please complete </w:t>
            </w:r>
            <w:r>
              <w:rPr>
                <w:sz w:val="22"/>
                <w:szCs w:val="22"/>
                <w:u w:val="single"/>
              </w:rPr>
              <w:t>preparation assignment #2</w:t>
            </w:r>
            <w:r>
              <w:rPr>
                <w:sz w:val="22"/>
                <w:szCs w:val="22"/>
              </w:rPr>
              <w:t xml:space="preserve"> (available on Canvas) in advance of class.</w:t>
            </w:r>
          </w:p>
        </w:tc>
      </w:tr>
      <w:tr w:rsidR="005054C1" w:rsidRPr="00592989" w:rsidTr="00757641">
        <w:tc>
          <w:tcPr>
            <w:tcW w:w="344" w:type="dxa"/>
          </w:tcPr>
          <w:p w:rsidR="005054C1" w:rsidRPr="00592989" w:rsidRDefault="005054C1" w:rsidP="00BA76F8">
            <w:pPr>
              <w:pStyle w:val="Tabletext"/>
              <w:keepNext/>
              <w:rPr>
                <w:b/>
                <w:sz w:val="22"/>
                <w:szCs w:val="22"/>
              </w:rPr>
            </w:pPr>
            <w:r w:rsidRPr="00592989">
              <w:rPr>
                <w:b/>
                <w:sz w:val="22"/>
                <w:szCs w:val="22"/>
              </w:rPr>
              <w:lastRenderedPageBreak/>
              <w:t>3</w:t>
            </w:r>
          </w:p>
        </w:tc>
        <w:tc>
          <w:tcPr>
            <w:tcW w:w="1080" w:type="dxa"/>
            <w:gridSpan w:val="2"/>
          </w:tcPr>
          <w:p w:rsidR="005054C1" w:rsidRPr="00476953" w:rsidRDefault="005054C1" w:rsidP="00592989">
            <w:pPr>
              <w:spacing w:after="0"/>
              <w:rPr>
                <w:b/>
                <w:sz w:val="18"/>
                <w:szCs w:val="18"/>
              </w:rPr>
            </w:pPr>
            <w:r w:rsidRPr="00476953">
              <w:rPr>
                <w:b/>
                <w:sz w:val="18"/>
                <w:szCs w:val="18"/>
              </w:rPr>
              <w:t xml:space="preserve">Saturday, </w:t>
            </w:r>
          </w:p>
          <w:p w:rsidR="005054C1" w:rsidRPr="00476953" w:rsidRDefault="005054C1" w:rsidP="00592989">
            <w:pPr>
              <w:spacing w:after="0"/>
              <w:rPr>
                <w:b/>
                <w:sz w:val="18"/>
                <w:szCs w:val="18"/>
              </w:rPr>
            </w:pPr>
            <w:r w:rsidRPr="00476953">
              <w:rPr>
                <w:b/>
                <w:sz w:val="18"/>
                <w:szCs w:val="18"/>
              </w:rPr>
              <w:t xml:space="preserve">April 30 </w:t>
            </w:r>
          </w:p>
          <w:p w:rsidR="005054C1" w:rsidRPr="00476953" w:rsidRDefault="005054C1" w:rsidP="001934C2">
            <w:pPr>
              <w:rPr>
                <w:b/>
                <w:sz w:val="18"/>
                <w:szCs w:val="18"/>
              </w:rPr>
            </w:pPr>
          </w:p>
          <w:p w:rsidR="005054C1" w:rsidRPr="00476953" w:rsidRDefault="005054C1" w:rsidP="001934C2">
            <w:pPr>
              <w:rPr>
                <w:b/>
                <w:sz w:val="18"/>
                <w:szCs w:val="18"/>
              </w:rPr>
            </w:pPr>
            <w:r w:rsidRPr="00476953">
              <w:rPr>
                <w:b/>
                <w:sz w:val="18"/>
                <w:szCs w:val="18"/>
              </w:rPr>
              <w:t>Morning Session</w:t>
            </w:r>
          </w:p>
        </w:tc>
        <w:tc>
          <w:tcPr>
            <w:tcW w:w="5040" w:type="dxa"/>
          </w:tcPr>
          <w:p w:rsidR="005054C1" w:rsidRPr="00592989" w:rsidRDefault="005054C1" w:rsidP="001934C2">
            <w:pPr>
              <w:pStyle w:val="Tabletext"/>
              <w:spacing w:before="0" w:after="120"/>
              <w:rPr>
                <w:sz w:val="22"/>
                <w:szCs w:val="22"/>
                <w:u w:val="single"/>
              </w:rPr>
            </w:pPr>
            <w:r w:rsidRPr="00592989">
              <w:rPr>
                <w:sz w:val="22"/>
                <w:szCs w:val="22"/>
                <w:u w:val="single"/>
              </w:rPr>
              <w:t xml:space="preserve">US Taxpayers with Foreign Activities: Foreign Tax Credit Part I – Direct and Indirect Credit </w:t>
            </w:r>
          </w:p>
          <w:p w:rsidR="005054C1" w:rsidRPr="00592989" w:rsidRDefault="005054C1" w:rsidP="001934C2">
            <w:pPr>
              <w:numPr>
                <w:ilvl w:val="0"/>
                <w:numId w:val="10"/>
              </w:numPr>
              <w:rPr>
                <w:color w:val="000000"/>
                <w:sz w:val="22"/>
                <w:szCs w:val="22"/>
              </w:rPr>
            </w:pPr>
            <w:r w:rsidRPr="00592989">
              <w:rPr>
                <w:color w:val="000000"/>
                <w:sz w:val="22"/>
                <w:szCs w:val="22"/>
              </w:rPr>
              <w:t>Why we have the foreign tax</w:t>
            </w:r>
            <w:r w:rsidR="00EF3D1B">
              <w:rPr>
                <w:color w:val="000000"/>
                <w:sz w:val="22"/>
                <w:szCs w:val="22"/>
              </w:rPr>
              <w:t xml:space="preserve"> credit</w:t>
            </w:r>
            <w:r w:rsidRPr="00592989">
              <w:rPr>
                <w:color w:val="000000"/>
                <w:sz w:val="22"/>
                <w:szCs w:val="22"/>
              </w:rPr>
              <w:t xml:space="preserve"> in the U.S. International System</w:t>
            </w:r>
            <w:r w:rsidR="00EF3D1B">
              <w:rPr>
                <w:color w:val="000000"/>
                <w:sz w:val="22"/>
                <w:szCs w:val="22"/>
              </w:rPr>
              <w:t xml:space="preserve"> for direct and indirect credits</w:t>
            </w:r>
            <w:r w:rsidRPr="00592989">
              <w:rPr>
                <w:color w:val="000000"/>
                <w:sz w:val="22"/>
                <w:szCs w:val="22"/>
              </w:rPr>
              <w:t xml:space="preserve"> </w:t>
            </w:r>
          </w:p>
          <w:p w:rsidR="005054C1" w:rsidRPr="00592989" w:rsidRDefault="005054C1" w:rsidP="001934C2">
            <w:pPr>
              <w:numPr>
                <w:ilvl w:val="0"/>
                <w:numId w:val="10"/>
              </w:numPr>
              <w:rPr>
                <w:color w:val="000000"/>
                <w:sz w:val="22"/>
                <w:szCs w:val="22"/>
              </w:rPr>
            </w:pPr>
            <w:r w:rsidRPr="00592989">
              <w:rPr>
                <w:color w:val="000000"/>
                <w:sz w:val="22"/>
                <w:szCs w:val="22"/>
              </w:rPr>
              <w:t xml:space="preserve">Identification of </w:t>
            </w:r>
            <w:r w:rsidR="00EF3D1B">
              <w:rPr>
                <w:color w:val="000000"/>
                <w:sz w:val="22"/>
                <w:szCs w:val="22"/>
              </w:rPr>
              <w:t>c</w:t>
            </w:r>
            <w:r w:rsidRPr="00592989">
              <w:rPr>
                <w:color w:val="000000"/>
                <w:sz w:val="22"/>
                <w:szCs w:val="22"/>
              </w:rPr>
              <w:t xml:space="preserve">reditable foreign income taxes under § 901 </w:t>
            </w:r>
          </w:p>
          <w:p w:rsidR="005054C1" w:rsidRPr="00592989" w:rsidRDefault="005054C1" w:rsidP="001934C2">
            <w:pPr>
              <w:numPr>
                <w:ilvl w:val="0"/>
                <w:numId w:val="10"/>
              </w:numPr>
              <w:rPr>
                <w:color w:val="000000"/>
                <w:sz w:val="22"/>
                <w:szCs w:val="22"/>
              </w:rPr>
            </w:pPr>
            <w:r w:rsidRPr="00592989">
              <w:rPr>
                <w:color w:val="000000"/>
                <w:sz w:val="22"/>
                <w:szCs w:val="22"/>
              </w:rPr>
              <w:t>Section 901 credit mechanics – deduct vs. credit, technical taxpayer, and compulsory payment requirement</w:t>
            </w:r>
          </w:p>
          <w:p w:rsidR="005054C1" w:rsidRPr="00592989" w:rsidRDefault="005054C1" w:rsidP="001934C2">
            <w:pPr>
              <w:numPr>
                <w:ilvl w:val="0"/>
                <w:numId w:val="10"/>
              </w:numPr>
              <w:rPr>
                <w:color w:val="000000"/>
                <w:sz w:val="22"/>
                <w:szCs w:val="22"/>
              </w:rPr>
            </w:pPr>
            <w:r w:rsidRPr="00592989">
              <w:rPr>
                <w:color w:val="000000"/>
                <w:sz w:val="22"/>
                <w:szCs w:val="22"/>
              </w:rPr>
              <w:t xml:space="preserve">Introduction </w:t>
            </w:r>
            <w:r w:rsidR="00EF3D1B">
              <w:rPr>
                <w:color w:val="000000"/>
                <w:sz w:val="22"/>
                <w:szCs w:val="22"/>
              </w:rPr>
              <w:t xml:space="preserve">to </w:t>
            </w:r>
            <w:r w:rsidRPr="00592989">
              <w:rPr>
                <w:color w:val="000000"/>
                <w:sz w:val="22"/>
                <w:szCs w:val="22"/>
              </w:rPr>
              <w:t xml:space="preserve">the </w:t>
            </w:r>
            <w:r w:rsidR="00EF3D1B">
              <w:rPr>
                <w:color w:val="000000"/>
                <w:sz w:val="22"/>
                <w:szCs w:val="22"/>
              </w:rPr>
              <w:t>s</w:t>
            </w:r>
            <w:r w:rsidRPr="00592989">
              <w:rPr>
                <w:color w:val="000000"/>
                <w:sz w:val="22"/>
                <w:szCs w:val="22"/>
              </w:rPr>
              <w:t xml:space="preserve">ection 902 </w:t>
            </w:r>
            <w:r w:rsidR="00EF3D1B">
              <w:rPr>
                <w:color w:val="000000"/>
                <w:sz w:val="22"/>
                <w:szCs w:val="22"/>
              </w:rPr>
              <w:t>“d</w:t>
            </w:r>
            <w:r w:rsidRPr="00592989">
              <w:rPr>
                <w:color w:val="000000"/>
                <w:sz w:val="22"/>
                <w:szCs w:val="22"/>
              </w:rPr>
              <w:t>eemed paid</w:t>
            </w:r>
            <w:r w:rsidR="00EF3D1B">
              <w:rPr>
                <w:color w:val="000000"/>
                <w:sz w:val="22"/>
                <w:szCs w:val="22"/>
              </w:rPr>
              <w:t>”</w:t>
            </w:r>
            <w:r w:rsidRPr="00592989">
              <w:rPr>
                <w:color w:val="000000"/>
                <w:sz w:val="22"/>
                <w:szCs w:val="22"/>
              </w:rPr>
              <w:t xml:space="preserve"> </w:t>
            </w:r>
            <w:r w:rsidR="00EF3D1B">
              <w:rPr>
                <w:color w:val="000000"/>
                <w:sz w:val="22"/>
                <w:szCs w:val="22"/>
              </w:rPr>
              <w:t xml:space="preserve">or indirect </w:t>
            </w:r>
            <w:r w:rsidRPr="00592989">
              <w:rPr>
                <w:color w:val="000000"/>
                <w:sz w:val="22"/>
                <w:szCs w:val="22"/>
              </w:rPr>
              <w:t xml:space="preserve">credit </w:t>
            </w:r>
          </w:p>
          <w:p w:rsidR="005054C1" w:rsidRPr="00592989" w:rsidRDefault="005054C1" w:rsidP="0081546C">
            <w:pPr>
              <w:numPr>
                <w:ilvl w:val="1"/>
                <w:numId w:val="10"/>
              </w:numPr>
              <w:rPr>
                <w:color w:val="000000"/>
                <w:sz w:val="22"/>
                <w:szCs w:val="22"/>
              </w:rPr>
            </w:pPr>
            <w:r w:rsidRPr="00592989">
              <w:rPr>
                <w:color w:val="000000"/>
                <w:sz w:val="22"/>
                <w:szCs w:val="22"/>
              </w:rPr>
              <w:t>Stock ownership requirement</w:t>
            </w:r>
          </w:p>
          <w:p w:rsidR="005054C1" w:rsidRPr="00592989" w:rsidRDefault="005054C1" w:rsidP="0081546C">
            <w:pPr>
              <w:numPr>
                <w:ilvl w:val="1"/>
                <w:numId w:val="10"/>
              </w:numPr>
              <w:rPr>
                <w:color w:val="000000"/>
                <w:sz w:val="22"/>
                <w:szCs w:val="22"/>
              </w:rPr>
            </w:pPr>
            <w:r w:rsidRPr="00592989">
              <w:rPr>
                <w:color w:val="000000"/>
                <w:sz w:val="22"/>
                <w:szCs w:val="22"/>
              </w:rPr>
              <w:t>Dividend mechanic with the gross-up</w:t>
            </w:r>
          </w:p>
          <w:p w:rsidR="005054C1" w:rsidRPr="00592989" w:rsidRDefault="005054C1" w:rsidP="0081546C">
            <w:pPr>
              <w:numPr>
                <w:ilvl w:val="1"/>
                <w:numId w:val="10"/>
              </w:numPr>
              <w:rPr>
                <w:color w:val="000000"/>
                <w:sz w:val="22"/>
                <w:szCs w:val="22"/>
              </w:rPr>
            </w:pPr>
            <w:r w:rsidRPr="00592989">
              <w:rPr>
                <w:color w:val="000000"/>
                <w:sz w:val="22"/>
                <w:szCs w:val="22"/>
              </w:rPr>
              <w:t>Post-1986 undistributed earnings and profits</w:t>
            </w:r>
          </w:p>
          <w:p w:rsidR="005054C1" w:rsidRPr="00592989" w:rsidRDefault="005054C1" w:rsidP="00E83C4F">
            <w:pPr>
              <w:ind w:left="1440"/>
              <w:rPr>
                <w:sz w:val="22"/>
                <w:szCs w:val="22"/>
              </w:rPr>
            </w:pPr>
          </w:p>
        </w:tc>
        <w:tc>
          <w:tcPr>
            <w:tcW w:w="5490" w:type="dxa"/>
            <w:vMerge w:val="restart"/>
          </w:tcPr>
          <w:p w:rsidR="005054C1" w:rsidRDefault="005054C1" w:rsidP="001934C2">
            <w:pPr>
              <w:pStyle w:val="Tabletext"/>
              <w:spacing w:before="0" w:after="120"/>
              <w:rPr>
                <w:sz w:val="22"/>
                <w:szCs w:val="22"/>
              </w:rPr>
            </w:pPr>
            <w:r>
              <w:rPr>
                <w:sz w:val="22"/>
                <w:szCs w:val="22"/>
              </w:rPr>
              <w:t>NUTSHELL, Chapter 8</w:t>
            </w:r>
          </w:p>
          <w:p w:rsidR="005054C1" w:rsidRPr="00592989" w:rsidRDefault="005054C1" w:rsidP="001934C2">
            <w:pPr>
              <w:pStyle w:val="Tabletext"/>
              <w:spacing w:before="0" w:after="120"/>
              <w:rPr>
                <w:sz w:val="22"/>
                <w:szCs w:val="22"/>
              </w:rPr>
            </w:pPr>
            <w:r w:rsidRPr="00592989">
              <w:rPr>
                <w:sz w:val="22"/>
                <w:szCs w:val="22"/>
              </w:rPr>
              <w:t xml:space="preserve">BNA - FOUNDATIONS, Chapter III, </w:t>
            </w:r>
            <w:r>
              <w:rPr>
                <w:sz w:val="22"/>
                <w:szCs w:val="22"/>
              </w:rPr>
              <w:t>A</w:t>
            </w:r>
            <w:r w:rsidRPr="00592989">
              <w:rPr>
                <w:sz w:val="22"/>
                <w:szCs w:val="22"/>
              </w:rPr>
              <w:t xml:space="preserve"> – </w:t>
            </w:r>
            <w:r>
              <w:rPr>
                <w:sz w:val="22"/>
                <w:szCs w:val="22"/>
              </w:rPr>
              <w:t>E</w:t>
            </w:r>
          </w:p>
          <w:p w:rsidR="00EF3D1B" w:rsidRDefault="00EF3D1B" w:rsidP="001934C2">
            <w:pPr>
              <w:rPr>
                <w:sz w:val="22"/>
                <w:szCs w:val="22"/>
                <w:u w:val="single"/>
              </w:rPr>
            </w:pPr>
          </w:p>
          <w:p w:rsidR="005054C1" w:rsidRDefault="005054C1" w:rsidP="001934C2">
            <w:pPr>
              <w:rPr>
                <w:sz w:val="22"/>
                <w:szCs w:val="22"/>
              </w:rPr>
            </w:pPr>
            <w:r w:rsidRPr="005B10E0">
              <w:rPr>
                <w:sz w:val="22"/>
                <w:szCs w:val="22"/>
                <w:u w:val="single"/>
              </w:rPr>
              <w:t>PPL Corp. v. Commissioner</w:t>
            </w:r>
            <w:r w:rsidRPr="00592989">
              <w:rPr>
                <w:sz w:val="22"/>
                <w:szCs w:val="22"/>
              </w:rPr>
              <w:t xml:space="preserve">, 2013-1 U.S.T.C. ¶50,335 </w:t>
            </w:r>
          </w:p>
          <w:p w:rsidR="005B10E0" w:rsidRDefault="005B10E0" w:rsidP="001934C2">
            <w:pPr>
              <w:rPr>
                <w:sz w:val="22"/>
                <w:szCs w:val="22"/>
              </w:rPr>
            </w:pPr>
            <w:r>
              <w:rPr>
                <w:sz w:val="22"/>
                <w:szCs w:val="22"/>
                <w:u w:val="single"/>
              </w:rPr>
              <w:t>United States v. Goodyear Tire &amp; Rubber</w:t>
            </w:r>
            <w:r>
              <w:rPr>
                <w:sz w:val="22"/>
                <w:szCs w:val="22"/>
              </w:rPr>
              <w:t>, 89-2 USTC ¶9658</w:t>
            </w:r>
            <w:r w:rsidRPr="005B10E0">
              <w:rPr>
                <w:sz w:val="22"/>
                <w:szCs w:val="22"/>
              </w:rPr>
              <w:t>, 110 S</w:t>
            </w:r>
            <w:r>
              <w:rPr>
                <w:sz w:val="22"/>
                <w:szCs w:val="22"/>
              </w:rPr>
              <w:t>.</w:t>
            </w:r>
            <w:r w:rsidRPr="005B10E0">
              <w:rPr>
                <w:sz w:val="22"/>
                <w:szCs w:val="22"/>
              </w:rPr>
              <w:t>Ct 462</w:t>
            </w:r>
          </w:p>
          <w:p w:rsidR="00EF3D1B" w:rsidRPr="00EF3D1B" w:rsidRDefault="00EF3D1B" w:rsidP="001934C2">
            <w:pPr>
              <w:rPr>
                <w:sz w:val="22"/>
                <w:szCs w:val="22"/>
                <w:u w:val="single"/>
              </w:rPr>
            </w:pPr>
            <w:r w:rsidRPr="00EF3D1B">
              <w:rPr>
                <w:sz w:val="22"/>
                <w:szCs w:val="22"/>
                <w:u w:val="single"/>
              </w:rPr>
              <w:t>First Chicago Corp v. Commissioner</w:t>
            </w:r>
            <w:r>
              <w:rPr>
                <w:sz w:val="22"/>
                <w:szCs w:val="22"/>
              </w:rPr>
              <w:t>, 96 T.C. 421 (1991)</w:t>
            </w:r>
            <w:r w:rsidRPr="00EF3D1B">
              <w:rPr>
                <w:sz w:val="22"/>
                <w:szCs w:val="22"/>
                <w:u w:val="single"/>
              </w:rPr>
              <w:t xml:space="preserve"> </w:t>
            </w:r>
          </w:p>
          <w:p w:rsidR="005B10E0" w:rsidRDefault="005B10E0" w:rsidP="001934C2">
            <w:pPr>
              <w:rPr>
                <w:sz w:val="22"/>
                <w:szCs w:val="22"/>
              </w:rPr>
            </w:pPr>
            <w:r w:rsidRPr="005B10E0">
              <w:rPr>
                <w:sz w:val="22"/>
                <w:szCs w:val="22"/>
                <w:u w:val="single"/>
              </w:rPr>
              <w:t>The Procter &amp; Gamble Company v. United States</w:t>
            </w:r>
            <w:r>
              <w:rPr>
                <w:sz w:val="22"/>
                <w:szCs w:val="22"/>
              </w:rPr>
              <w:t xml:space="preserve">, </w:t>
            </w:r>
            <w:r w:rsidRPr="005B10E0">
              <w:rPr>
                <w:sz w:val="22"/>
                <w:szCs w:val="22"/>
              </w:rPr>
              <w:t>2010-2 U.S.T.C. ¶50,593</w:t>
            </w:r>
            <w:r>
              <w:rPr>
                <w:sz w:val="22"/>
                <w:szCs w:val="22"/>
              </w:rPr>
              <w:t xml:space="preserve"> (S. D. Ohio 2010)</w:t>
            </w:r>
          </w:p>
          <w:p w:rsidR="005B10E0" w:rsidRDefault="005B10E0" w:rsidP="001934C2">
            <w:pPr>
              <w:rPr>
                <w:sz w:val="22"/>
                <w:szCs w:val="22"/>
              </w:rPr>
            </w:pPr>
            <w:r>
              <w:rPr>
                <w:sz w:val="22"/>
                <w:szCs w:val="22"/>
              </w:rPr>
              <w:t>Law Firm tax alerts on creditability of Mexican IETU and Puerto Rico excise taxes</w:t>
            </w:r>
            <w:r w:rsidR="00EF3D1B">
              <w:rPr>
                <w:sz w:val="22"/>
                <w:szCs w:val="22"/>
              </w:rPr>
              <w:t xml:space="preserve"> (posted on Canvas)</w:t>
            </w:r>
          </w:p>
          <w:p w:rsidR="005B10E0" w:rsidRPr="005B10E0" w:rsidRDefault="005B10E0" w:rsidP="001934C2">
            <w:pPr>
              <w:rPr>
                <w:sz w:val="22"/>
                <w:szCs w:val="22"/>
              </w:rPr>
            </w:pPr>
          </w:p>
          <w:p w:rsidR="005054C1" w:rsidRPr="00592989" w:rsidRDefault="005054C1" w:rsidP="001934C2">
            <w:pPr>
              <w:rPr>
                <w:sz w:val="22"/>
                <w:szCs w:val="22"/>
              </w:rPr>
            </w:pPr>
            <w:r w:rsidRPr="00592989">
              <w:rPr>
                <w:sz w:val="22"/>
                <w:szCs w:val="22"/>
              </w:rPr>
              <w:t>IRS IPU Manuals, “Exhaustion of Remedies” (December 2014), “Exhaustion of Remedies – Non-Transfer Pricing Situations” (December 2014) and “French Foreign Tax Credits” (December 2014)</w:t>
            </w:r>
          </w:p>
          <w:p w:rsidR="005054C1" w:rsidRPr="00592989" w:rsidRDefault="005054C1" w:rsidP="005054C1">
            <w:pPr>
              <w:rPr>
                <w:b/>
                <w:sz w:val="22"/>
                <w:szCs w:val="22"/>
              </w:rPr>
            </w:pPr>
          </w:p>
        </w:tc>
        <w:tc>
          <w:tcPr>
            <w:tcW w:w="3150" w:type="dxa"/>
            <w:vMerge w:val="restart"/>
          </w:tcPr>
          <w:p w:rsidR="005054C1" w:rsidRDefault="005054C1" w:rsidP="005054C1">
            <w:pPr>
              <w:pStyle w:val="Tabletext"/>
              <w:spacing w:before="0" w:after="120"/>
              <w:rPr>
                <w:sz w:val="22"/>
                <w:szCs w:val="22"/>
              </w:rPr>
            </w:pPr>
            <w:r>
              <w:rPr>
                <w:sz w:val="22"/>
                <w:szCs w:val="22"/>
              </w:rPr>
              <w:t xml:space="preserve">None, but please complete </w:t>
            </w:r>
            <w:r w:rsidRPr="005054C1">
              <w:rPr>
                <w:sz w:val="22"/>
                <w:szCs w:val="22"/>
                <w:u w:val="single"/>
              </w:rPr>
              <w:t>preparation assignment #3</w:t>
            </w:r>
            <w:r w:rsidR="00FC6AFB">
              <w:rPr>
                <w:sz w:val="22"/>
                <w:szCs w:val="22"/>
                <w:u w:val="single"/>
              </w:rPr>
              <w:t>/#4</w:t>
            </w:r>
            <w:r w:rsidR="00FC6AFB" w:rsidRPr="00FC6AFB">
              <w:rPr>
                <w:sz w:val="22"/>
                <w:szCs w:val="22"/>
              </w:rPr>
              <w:t xml:space="preserve"> </w:t>
            </w:r>
            <w:r>
              <w:rPr>
                <w:sz w:val="22"/>
                <w:szCs w:val="22"/>
              </w:rPr>
              <w:t>for class.</w:t>
            </w:r>
          </w:p>
          <w:p w:rsidR="00CD1466" w:rsidRDefault="00CD1466" w:rsidP="00CD1466"/>
          <w:p w:rsidR="00CD1466" w:rsidRPr="00CD1466" w:rsidRDefault="00CD1466" w:rsidP="00CD1466"/>
        </w:tc>
      </w:tr>
      <w:tr w:rsidR="005054C1" w:rsidRPr="00592989" w:rsidTr="00757641">
        <w:tc>
          <w:tcPr>
            <w:tcW w:w="344" w:type="dxa"/>
          </w:tcPr>
          <w:p w:rsidR="005054C1" w:rsidRPr="00592989" w:rsidRDefault="005054C1" w:rsidP="00BA76F8">
            <w:pPr>
              <w:pStyle w:val="Tabletext"/>
              <w:keepNext/>
              <w:rPr>
                <w:b/>
                <w:sz w:val="22"/>
                <w:szCs w:val="22"/>
              </w:rPr>
            </w:pPr>
            <w:r w:rsidRPr="00592989">
              <w:rPr>
                <w:b/>
                <w:sz w:val="22"/>
                <w:szCs w:val="22"/>
              </w:rPr>
              <w:t>4</w:t>
            </w:r>
          </w:p>
        </w:tc>
        <w:tc>
          <w:tcPr>
            <w:tcW w:w="1080" w:type="dxa"/>
            <w:gridSpan w:val="2"/>
          </w:tcPr>
          <w:p w:rsidR="005054C1" w:rsidRPr="00476953" w:rsidRDefault="005054C1" w:rsidP="001934C2">
            <w:pPr>
              <w:pStyle w:val="Tabletext"/>
              <w:spacing w:before="0" w:after="120"/>
              <w:jc w:val="center"/>
              <w:rPr>
                <w:b/>
                <w:sz w:val="18"/>
                <w:szCs w:val="18"/>
              </w:rPr>
            </w:pPr>
            <w:r w:rsidRPr="00476953">
              <w:rPr>
                <w:b/>
                <w:sz w:val="18"/>
                <w:szCs w:val="18"/>
              </w:rPr>
              <w:t>Saturday, April 30</w:t>
            </w:r>
          </w:p>
          <w:p w:rsidR="005054C1" w:rsidRPr="00476953" w:rsidRDefault="005054C1" w:rsidP="00592989">
            <w:pPr>
              <w:rPr>
                <w:sz w:val="18"/>
                <w:szCs w:val="18"/>
              </w:rPr>
            </w:pPr>
            <w:r w:rsidRPr="00476953">
              <w:rPr>
                <w:b/>
                <w:sz w:val="18"/>
                <w:szCs w:val="18"/>
              </w:rPr>
              <w:t>Afternoon Session</w:t>
            </w:r>
          </w:p>
        </w:tc>
        <w:tc>
          <w:tcPr>
            <w:tcW w:w="5040" w:type="dxa"/>
          </w:tcPr>
          <w:p w:rsidR="005054C1" w:rsidRPr="00592989" w:rsidRDefault="005054C1" w:rsidP="0081546C">
            <w:pPr>
              <w:pStyle w:val="Tabletext"/>
              <w:spacing w:before="0" w:after="120"/>
              <w:rPr>
                <w:sz w:val="22"/>
                <w:szCs w:val="22"/>
                <w:u w:val="single"/>
              </w:rPr>
            </w:pPr>
            <w:r w:rsidRPr="00592989">
              <w:rPr>
                <w:sz w:val="22"/>
                <w:szCs w:val="22"/>
                <w:u w:val="single"/>
              </w:rPr>
              <w:t xml:space="preserve">US Taxpayers with Foreign Activities: Foreign Tax Credit Part II – Indirect Credit continued and the Foreign tax Credit Limitation </w:t>
            </w:r>
          </w:p>
          <w:p w:rsidR="005054C1" w:rsidRPr="00592989" w:rsidRDefault="005054C1" w:rsidP="0081546C">
            <w:pPr>
              <w:numPr>
                <w:ilvl w:val="0"/>
                <w:numId w:val="10"/>
              </w:numPr>
              <w:rPr>
                <w:color w:val="000000"/>
                <w:sz w:val="22"/>
                <w:szCs w:val="22"/>
              </w:rPr>
            </w:pPr>
            <w:r w:rsidRPr="00592989">
              <w:rPr>
                <w:color w:val="000000"/>
                <w:sz w:val="22"/>
                <w:szCs w:val="22"/>
              </w:rPr>
              <w:t xml:space="preserve">More detailed Section 902 Deemed Paid Credit calculations </w:t>
            </w:r>
          </w:p>
          <w:p w:rsidR="005054C1" w:rsidRPr="00592989" w:rsidRDefault="005054C1" w:rsidP="0081546C">
            <w:pPr>
              <w:numPr>
                <w:ilvl w:val="1"/>
                <w:numId w:val="10"/>
              </w:numPr>
              <w:rPr>
                <w:color w:val="000000"/>
                <w:sz w:val="22"/>
                <w:szCs w:val="22"/>
              </w:rPr>
            </w:pPr>
            <w:r w:rsidRPr="00592989">
              <w:rPr>
                <w:color w:val="000000"/>
                <w:sz w:val="22"/>
                <w:szCs w:val="22"/>
              </w:rPr>
              <w:t>Distributions up a chain of entity</w:t>
            </w:r>
          </w:p>
          <w:p w:rsidR="005054C1" w:rsidRPr="00592989" w:rsidRDefault="005054C1" w:rsidP="0081546C">
            <w:pPr>
              <w:numPr>
                <w:ilvl w:val="1"/>
                <w:numId w:val="10"/>
              </w:numPr>
              <w:rPr>
                <w:color w:val="000000"/>
                <w:sz w:val="22"/>
                <w:szCs w:val="22"/>
              </w:rPr>
            </w:pPr>
            <w:r w:rsidRPr="00592989">
              <w:rPr>
                <w:color w:val="000000"/>
                <w:sz w:val="22"/>
                <w:szCs w:val="22"/>
              </w:rPr>
              <w:t>Maintaining the E&amp;P and tax pools across multiple years</w:t>
            </w:r>
          </w:p>
          <w:p w:rsidR="005054C1" w:rsidRPr="00592989" w:rsidRDefault="00EF3D1B" w:rsidP="0081546C">
            <w:pPr>
              <w:numPr>
                <w:ilvl w:val="0"/>
                <w:numId w:val="10"/>
              </w:numPr>
              <w:rPr>
                <w:color w:val="000000"/>
                <w:sz w:val="22"/>
                <w:szCs w:val="22"/>
              </w:rPr>
            </w:pPr>
            <w:r>
              <w:rPr>
                <w:color w:val="000000"/>
                <w:sz w:val="22"/>
                <w:szCs w:val="22"/>
              </w:rPr>
              <w:t xml:space="preserve">Understanding the </w:t>
            </w:r>
            <w:r w:rsidR="005054C1" w:rsidRPr="00592989">
              <w:rPr>
                <w:color w:val="000000"/>
                <w:sz w:val="22"/>
                <w:szCs w:val="22"/>
              </w:rPr>
              <w:t>Section 904 Limitation</w:t>
            </w:r>
          </w:p>
          <w:p w:rsidR="005054C1" w:rsidRPr="00592989" w:rsidRDefault="005054C1" w:rsidP="00FB2908">
            <w:pPr>
              <w:numPr>
                <w:ilvl w:val="1"/>
                <w:numId w:val="10"/>
              </w:numPr>
              <w:rPr>
                <w:color w:val="000000"/>
                <w:sz w:val="22"/>
                <w:szCs w:val="22"/>
              </w:rPr>
            </w:pPr>
            <w:r w:rsidRPr="00592989">
              <w:rPr>
                <w:color w:val="000000"/>
                <w:sz w:val="22"/>
                <w:szCs w:val="22"/>
              </w:rPr>
              <w:t>Passive vs. General basket income</w:t>
            </w:r>
          </w:p>
          <w:p w:rsidR="005054C1" w:rsidRPr="00592989" w:rsidRDefault="005054C1" w:rsidP="00FB2908">
            <w:pPr>
              <w:numPr>
                <w:ilvl w:val="1"/>
                <w:numId w:val="10"/>
              </w:numPr>
              <w:rPr>
                <w:color w:val="000000"/>
                <w:sz w:val="22"/>
                <w:szCs w:val="22"/>
              </w:rPr>
            </w:pPr>
            <w:r w:rsidRPr="00592989">
              <w:rPr>
                <w:color w:val="000000"/>
                <w:sz w:val="22"/>
                <w:szCs w:val="22"/>
              </w:rPr>
              <w:t>Section 904(c) carryforwards</w:t>
            </w:r>
          </w:p>
          <w:p w:rsidR="005054C1" w:rsidRPr="00592989" w:rsidRDefault="005054C1" w:rsidP="00FB2908">
            <w:pPr>
              <w:numPr>
                <w:ilvl w:val="1"/>
                <w:numId w:val="10"/>
              </w:numPr>
              <w:rPr>
                <w:color w:val="000000"/>
                <w:sz w:val="22"/>
                <w:szCs w:val="22"/>
              </w:rPr>
            </w:pPr>
            <w:r w:rsidRPr="00592989">
              <w:rPr>
                <w:color w:val="000000"/>
                <w:sz w:val="22"/>
                <w:szCs w:val="22"/>
              </w:rPr>
              <w:t>Impact of US and foreign losses on the limitation</w:t>
            </w:r>
          </w:p>
          <w:p w:rsidR="005054C1" w:rsidRPr="00592989" w:rsidRDefault="00CD1466" w:rsidP="00F94FBA">
            <w:pPr>
              <w:numPr>
                <w:ilvl w:val="0"/>
                <w:numId w:val="10"/>
              </w:numPr>
              <w:rPr>
                <w:color w:val="000000"/>
                <w:sz w:val="22"/>
                <w:szCs w:val="22"/>
              </w:rPr>
            </w:pPr>
            <w:r>
              <w:rPr>
                <w:color w:val="000000"/>
                <w:sz w:val="22"/>
                <w:szCs w:val="22"/>
              </w:rPr>
              <w:t>In-class g</w:t>
            </w:r>
            <w:r w:rsidR="005054C1" w:rsidRPr="00592989">
              <w:rPr>
                <w:color w:val="000000"/>
                <w:sz w:val="22"/>
                <w:szCs w:val="22"/>
              </w:rPr>
              <w:t xml:space="preserve">roup </w:t>
            </w:r>
            <w:r>
              <w:rPr>
                <w:color w:val="000000"/>
                <w:sz w:val="22"/>
                <w:szCs w:val="22"/>
              </w:rPr>
              <w:t xml:space="preserve">work </w:t>
            </w:r>
            <w:r w:rsidR="005054C1" w:rsidRPr="00592989">
              <w:rPr>
                <w:color w:val="000000"/>
                <w:sz w:val="22"/>
                <w:szCs w:val="22"/>
              </w:rPr>
              <w:t xml:space="preserve">bringing it all together:  sourcing income  and expense, calculating the </w:t>
            </w:r>
            <w:r w:rsidR="005054C1" w:rsidRPr="00592989">
              <w:rPr>
                <w:color w:val="000000"/>
                <w:sz w:val="22"/>
                <w:szCs w:val="22"/>
              </w:rPr>
              <w:lastRenderedPageBreak/>
              <w:t>direct and indirect credits and applying the section 904 limitation</w:t>
            </w:r>
          </w:p>
        </w:tc>
        <w:tc>
          <w:tcPr>
            <w:tcW w:w="5490" w:type="dxa"/>
            <w:vMerge/>
          </w:tcPr>
          <w:p w:rsidR="005054C1" w:rsidRPr="00592989" w:rsidRDefault="005054C1" w:rsidP="001934C2">
            <w:pPr>
              <w:pStyle w:val="Tabletext"/>
              <w:spacing w:before="0" w:after="120"/>
              <w:rPr>
                <w:sz w:val="22"/>
                <w:szCs w:val="22"/>
              </w:rPr>
            </w:pPr>
          </w:p>
        </w:tc>
        <w:tc>
          <w:tcPr>
            <w:tcW w:w="3150" w:type="dxa"/>
            <w:vMerge/>
          </w:tcPr>
          <w:p w:rsidR="005054C1" w:rsidRPr="00592989" w:rsidRDefault="005054C1" w:rsidP="001934C2">
            <w:pPr>
              <w:pStyle w:val="Tabletext"/>
              <w:spacing w:before="0" w:after="120"/>
              <w:rPr>
                <w:sz w:val="22"/>
                <w:szCs w:val="22"/>
              </w:rPr>
            </w:pPr>
          </w:p>
        </w:tc>
      </w:tr>
      <w:tr w:rsidR="008D0E33" w:rsidRPr="00592989" w:rsidTr="00476953">
        <w:tc>
          <w:tcPr>
            <w:tcW w:w="344" w:type="dxa"/>
          </w:tcPr>
          <w:p w:rsidR="008D0E33" w:rsidRPr="00592989" w:rsidRDefault="00D1673F" w:rsidP="00BA76F8">
            <w:pPr>
              <w:pStyle w:val="Tabletext"/>
              <w:keepNext/>
              <w:rPr>
                <w:b/>
                <w:sz w:val="22"/>
                <w:szCs w:val="22"/>
              </w:rPr>
            </w:pPr>
            <w:r>
              <w:lastRenderedPageBreak/>
              <w:br w:type="page"/>
            </w:r>
            <w:r w:rsidR="008D0E33" w:rsidRPr="00592989">
              <w:rPr>
                <w:b/>
                <w:sz w:val="22"/>
                <w:szCs w:val="22"/>
              </w:rPr>
              <w:t>5</w:t>
            </w:r>
          </w:p>
        </w:tc>
        <w:tc>
          <w:tcPr>
            <w:tcW w:w="990" w:type="dxa"/>
          </w:tcPr>
          <w:p w:rsidR="008D0E33" w:rsidRPr="00592989" w:rsidRDefault="008D0E33" w:rsidP="001934C2">
            <w:pPr>
              <w:pStyle w:val="Tabletext"/>
              <w:spacing w:before="0" w:after="120"/>
              <w:jc w:val="center"/>
              <w:rPr>
                <w:sz w:val="22"/>
                <w:szCs w:val="22"/>
              </w:rPr>
            </w:pPr>
            <w:r w:rsidRPr="00592989">
              <w:rPr>
                <w:sz w:val="22"/>
                <w:szCs w:val="22"/>
              </w:rPr>
              <w:t>Tuesday May 3</w:t>
            </w:r>
          </w:p>
        </w:tc>
        <w:tc>
          <w:tcPr>
            <w:tcW w:w="5130" w:type="dxa"/>
            <w:gridSpan w:val="2"/>
          </w:tcPr>
          <w:p w:rsidR="008D0E33" w:rsidRPr="00592989" w:rsidRDefault="008D0E33" w:rsidP="001934C2">
            <w:pPr>
              <w:rPr>
                <w:color w:val="000000"/>
                <w:sz w:val="22"/>
                <w:szCs w:val="22"/>
              </w:rPr>
            </w:pPr>
            <w:r w:rsidRPr="00592989">
              <w:rPr>
                <w:color w:val="000000"/>
                <w:sz w:val="22"/>
                <w:szCs w:val="22"/>
              </w:rPr>
              <w:t>Taxation of US Taxpayer’s Foreign Activities:  Controlled Foreign Corporations Part I</w:t>
            </w:r>
          </w:p>
          <w:p w:rsidR="008D0E33" w:rsidRPr="00592989" w:rsidRDefault="008D0E33" w:rsidP="001934C2">
            <w:pPr>
              <w:numPr>
                <w:ilvl w:val="0"/>
                <w:numId w:val="12"/>
              </w:numPr>
              <w:rPr>
                <w:color w:val="000000"/>
                <w:sz w:val="22"/>
                <w:szCs w:val="22"/>
                <w:u w:val="single"/>
              </w:rPr>
            </w:pPr>
            <w:r w:rsidRPr="00592989">
              <w:rPr>
                <w:color w:val="000000"/>
                <w:sz w:val="22"/>
                <w:szCs w:val="22"/>
              </w:rPr>
              <w:t xml:space="preserve">Historical underpinning and legislative development of “Subpart F” </w:t>
            </w:r>
          </w:p>
          <w:p w:rsidR="008D0E33" w:rsidRPr="00592989" w:rsidRDefault="008D0E33" w:rsidP="001934C2">
            <w:pPr>
              <w:numPr>
                <w:ilvl w:val="0"/>
                <w:numId w:val="12"/>
              </w:numPr>
              <w:rPr>
                <w:color w:val="000000"/>
                <w:sz w:val="22"/>
                <w:szCs w:val="22"/>
                <w:u w:val="single"/>
              </w:rPr>
            </w:pPr>
            <w:r w:rsidRPr="00592989">
              <w:rPr>
                <w:color w:val="000000"/>
                <w:sz w:val="22"/>
                <w:szCs w:val="22"/>
              </w:rPr>
              <w:t>Definition of a “controlled foreign corporation” and “United states shareholder” – example of identifying a CFC in the context of a closely held, VC-backed foreign company</w:t>
            </w:r>
          </w:p>
          <w:p w:rsidR="008D0E33" w:rsidRPr="00592989" w:rsidRDefault="008D0E33" w:rsidP="001934C2">
            <w:pPr>
              <w:numPr>
                <w:ilvl w:val="0"/>
                <w:numId w:val="12"/>
              </w:numPr>
              <w:rPr>
                <w:color w:val="000000"/>
                <w:sz w:val="22"/>
                <w:szCs w:val="22"/>
                <w:u w:val="single"/>
              </w:rPr>
            </w:pPr>
            <w:r w:rsidRPr="00592989">
              <w:rPr>
                <w:color w:val="000000"/>
                <w:sz w:val="22"/>
                <w:szCs w:val="22"/>
              </w:rPr>
              <w:t>Subpart F inclusions and impact on the United States shareholders</w:t>
            </w:r>
          </w:p>
          <w:p w:rsidR="008D0E33" w:rsidRPr="00592989" w:rsidRDefault="008D0E33" w:rsidP="001934C2">
            <w:pPr>
              <w:numPr>
                <w:ilvl w:val="0"/>
                <w:numId w:val="12"/>
              </w:numPr>
              <w:rPr>
                <w:color w:val="000000"/>
                <w:sz w:val="22"/>
                <w:szCs w:val="22"/>
                <w:u w:val="single"/>
              </w:rPr>
            </w:pPr>
            <w:r w:rsidRPr="00592989">
              <w:rPr>
                <w:color w:val="000000"/>
                <w:sz w:val="22"/>
                <w:szCs w:val="22"/>
              </w:rPr>
              <w:t xml:space="preserve">Identify three main types of Subpart F income </w:t>
            </w:r>
          </w:p>
          <w:p w:rsidR="008D0E33" w:rsidRPr="00592989" w:rsidRDefault="008D0E33" w:rsidP="001934C2">
            <w:pPr>
              <w:numPr>
                <w:ilvl w:val="1"/>
                <w:numId w:val="12"/>
              </w:numPr>
              <w:rPr>
                <w:color w:val="000000"/>
                <w:sz w:val="22"/>
                <w:szCs w:val="22"/>
                <w:u w:val="single"/>
              </w:rPr>
            </w:pPr>
            <w:r w:rsidRPr="00592989">
              <w:rPr>
                <w:color w:val="000000"/>
                <w:sz w:val="22"/>
                <w:szCs w:val="22"/>
              </w:rPr>
              <w:t xml:space="preserve">Foreign personal holding company income (Sec. 954(c)) </w:t>
            </w:r>
          </w:p>
          <w:p w:rsidR="008D0E33" w:rsidRPr="00592989" w:rsidRDefault="008D0E33" w:rsidP="001934C2">
            <w:pPr>
              <w:numPr>
                <w:ilvl w:val="1"/>
                <w:numId w:val="12"/>
              </w:numPr>
              <w:rPr>
                <w:color w:val="000000"/>
                <w:sz w:val="22"/>
                <w:szCs w:val="22"/>
                <w:u w:val="single"/>
              </w:rPr>
            </w:pPr>
            <w:r w:rsidRPr="00592989">
              <w:rPr>
                <w:color w:val="000000"/>
                <w:sz w:val="22"/>
                <w:szCs w:val="22"/>
              </w:rPr>
              <w:t xml:space="preserve">Foreign base company sales income (Sec. 954(d)) </w:t>
            </w:r>
          </w:p>
          <w:p w:rsidR="008D0E33" w:rsidRPr="00CD1466" w:rsidRDefault="008D0E33" w:rsidP="000B2F17">
            <w:pPr>
              <w:numPr>
                <w:ilvl w:val="1"/>
                <w:numId w:val="12"/>
              </w:numPr>
              <w:rPr>
                <w:color w:val="000000"/>
                <w:sz w:val="22"/>
                <w:szCs w:val="22"/>
                <w:u w:val="single"/>
              </w:rPr>
            </w:pPr>
            <w:r w:rsidRPr="00592989">
              <w:rPr>
                <w:color w:val="000000"/>
                <w:sz w:val="22"/>
                <w:szCs w:val="22"/>
              </w:rPr>
              <w:t>Foreign base company services income (Sec. 954(e)</w:t>
            </w:r>
          </w:p>
          <w:p w:rsidR="00CD1466" w:rsidRPr="00592989" w:rsidRDefault="00CD1466" w:rsidP="00CD1466">
            <w:pPr>
              <w:ind w:left="1440"/>
              <w:rPr>
                <w:color w:val="000000"/>
                <w:sz w:val="22"/>
                <w:szCs w:val="22"/>
                <w:u w:val="single"/>
              </w:rPr>
            </w:pPr>
          </w:p>
        </w:tc>
        <w:tc>
          <w:tcPr>
            <w:tcW w:w="5490" w:type="dxa"/>
          </w:tcPr>
          <w:p w:rsidR="008D0E33" w:rsidRDefault="008D0E33" w:rsidP="00F81F3C">
            <w:pPr>
              <w:rPr>
                <w:sz w:val="22"/>
                <w:szCs w:val="22"/>
              </w:rPr>
            </w:pPr>
            <w:r>
              <w:rPr>
                <w:sz w:val="22"/>
                <w:szCs w:val="22"/>
              </w:rPr>
              <w:t>NUTSHELL</w:t>
            </w:r>
            <w:r w:rsidRPr="00592989">
              <w:rPr>
                <w:sz w:val="22"/>
                <w:szCs w:val="22"/>
              </w:rPr>
              <w:t>,</w:t>
            </w:r>
            <w:r>
              <w:rPr>
                <w:sz w:val="22"/>
                <w:szCs w:val="22"/>
              </w:rPr>
              <w:t xml:space="preserve"> Chapter 10</w:t>
            </w:r>
            <w:r w:rsidR="00F94FBA">
              <w:rPr>
                <w:sz w:val="22"/>
                <w:szCs w:val="22"/>
              </w:rPr>
              <w:t>.01 – 10.06 (i.e., read the entire chapter, except for the part on PFICs, which are not covered in this course).</w:t>
            </w:r>
          </w:p>
          <w:p w:rsidR="00CD1466" w:rsidRDefault="008D0E33" w:rsidP="00CD1466">
            <w:pPr>
              <w:pStyle w:val="Tabletext"/>
              <w:spacing w:before="0" w:after="120"/>
              <w:rPr>
                <w:sz w:val="22"/>
                <w:szCs w:val="22"/>
              </w:rPr>
            </w:pPr>
            <w:r w:rsidRPr="00592989">
              <w:rPr>
                <w:sz w:val="22"/>
                <w:szCs w:val="22"/>
              </w:rPr>
              <w:t xml:space="preserve">BNA </w:t>
            </w:r>
            <w:r>
              <w:rPr>
                <w:sz w:val="22"/>
                <w:szCs w:val="22"/>
              </w:rPr>
              <w:t>–</w:t>
            </w:r>
            <w:r w:rsidRPr="00592989">
              <w:rPr>
                <w:sz w:val="22"/>
                <w:szCs w:val="22"/>
              </w:rPr>
              <w:t xml:space="preserve"> FOUNDATIONS</w:t>
            </w:r>
            <w:r>
              <w:rPr>
                <w:sz w:val="22"/>
                <w:szCs w:val="22"/>
              </w:rPr>
              <w:t>, Chapter III.F – Chapter III.M</w:t>
            </w:r>
          </w:p>
          <w:p w:rsidR="00E21512" w:rsidRPr="00592989" w:rsidRDefault="00E21512" w:rsidP="00E21512">
            <w:pPr>
              <w:rPr>
                <w:sz w:val="22"/>
                <w:szCs w:val="22"/>
              </w:rPr>
            </w:pPr>
            <w:r w:rsidRPr="00592989">
              <w:rPr>
                <w:sz w:val="22"/>
                <w:szCs w:val="22"/>
              </w:rPr>
              <w:t>BNA Portfolio No. 926-3</w:t>
            </w:r>
            <w:r w:rsidRPr="00592989">
              <w:rPr>
                <w:sz w:val="22"/>
                <w:szCs w:val="22"/>
                <w:vertAlign w:val="superscript"/>
              </w:rPr>
              <w:t>rd</w:t>
            </w:r>
            <w:r w:rsidRPr="00592989">
              <w:rPr>
                <w:sz w:val="22"/>
                <w:szCs w:val="22"/>
              </w:rPr>
              <w:t>, CFCs – General Overview, Chapter II.A – B (Legislative Background) and Worksheet 1 (Excerpt from 1962 House Ways &amp; Means Committee Report Introducing Subpart F).</w:t>
            </w:r>
          </w:p>
          <w:p w:rsidR="008D0E33" w:rsidRPr="00592989" w:rsidRDefault="008D0E33" w:rsidP="001934C2">
            <w:pPr>
              <w:rPr>
                <w:sz w:val="22"/>
                <w:szCs w:val="22"/>
              </w:rPr>
            </w:pPr>
            <w:r w:rsidRPr="00592989">
              <w:rPr>
                <w:sz w:val="22"/>
                <w:szCs w:val="22"/>
              </w:rPr>
              <w:t>IRS IPU manuals, “Computing Foreign Base Company Income” (December 2014)</w:t>
            </w:r>
          </w:p>
          <w:p w:rsidR="00A75C7D" w:rsidRDefault="00A75C7D" w:rsidP="001934C2">
            <w:pPr>
              <w:rPr>
                <w:sz w:val="22"/>
                <w:szCs w:val="22"/>
              </w:rPr>
            </w:pPr>
            <w:r w:rsidRPr="00592989">
              <w:rPr>
                <w:sz w:val="22"/>
                <w:szCs w:val="22"/>
              </w:rPr>
              <w:t>IRS IPU Manual, “Subpart F Overview” (December 2014)</w:t>
            </w:r>
          </w:p>
          <w:p w:rsidR="008D0E33" w:rsidRPr="00592989" w:rsidRDefault="008D0E33" w:rsidP="001934C2">
            <w:pPr>
              <w:rPr>
                <w:sz w:val="22"/>
                <w:szCs w:val="22"/>
              </w:rPr>
            </w:pPr>
            <w:r w:rsidRPr="00592989">
              <w:rPr>
                <w:sz w:val="22"/>
                <w:szCs w:val="22"/>
              </w:rPr>
              <w:t>“CFC Purchased from a Related Party with Same Country Sales” (July 2015)</w:t>
            </w:r>
          </w:p>
          <w:p w:rsidR="008D0E33" w:rsidRPr="00592989" w:rsidRDefault="008D0E33" w:rsidP="001934C2">
            <w:pPr>
              <w:rPr>
                <w:sz w:val="22"/>
                <w:szCs w:val="22"/>
              </w:rPr>
            </w:pPr>
            <w:r w:rsidRPr="00592989">
              <w:rPr>
                <w:sz w:val="22"/>
                <w:szCs w:val="22"/>
              </w:rPr>
              <w:t>“CFC Sold to a Related Party with Unrelated Same Country Manufacturing” (July 2015)</w:t>
            </w:r>
          </w:p>
        </w:tc>
        <w:tc>
          <w:tcPr>
            <w:tcW w:w="3150" w:type="dxa"/>
          </w:tcPr>
          <w:p w:rsidR="008D0E33" w:rsidRDefault="008D0E33" w:rsidP="00BF292E">
            <w:pPr>
              <w:pStyle w:val="Tabletext"/>
              <w:spacing w:before="0" w:after="120"/>
              <w:rPr>
                <w:sz w:val="22"/>
                <w:szCs w:val="22"/>
              </w:rPr>
            </w:pPr>
            <w:r w:rsidRPr="00592989">
              <w:rPr>
                <w:sz w:val="22"/>
                <w:szCs w:val="22"/>
              </w:rPr>
              <w:t xml:space="preserve">Choose your in-class presentation topic and presentation group (see class No. 9 below) </w:t>
            </w:r>
          </w:p>
          <w:p w:rsidR="00CD1466" w:rsidRPr="00476953" w:rsidRDefault="005054C1" w:rsidP="005054C1">
            <w:pPr>
              <w:rPr>
                <w:b/>
              </w:rPr>
            </w:pPr>
            <w:r>
              <w:t xml:space="preserve">No </w:t>
            </w:r>
            <w:r w:rsidRPr="005054C1">
              <w:rPr>
                <w:u w:val="single"/>
              </w:rPr>
              <w:t xml:space="preserve">preparation assignment </w:t>
            </w:r>
            <w:r w:rsidR="00476953">
              <w:rPr>
                <w:u w:val="single"/>
              </w:rPr>
              <w:t>for this week</w:t>
            </w:r>
            <w:r w:rsidR="00476953">
              <w:t>.</w:t>
            </w:r>
          </w:p>
          <w:p w:rsidR="00CD1466" w:rsidRDefault="00CD1466" w:rsidP="005054C1">
            <w:pPr>
              <w:rPr>
                <w:u w:val="single"/>
              </w:rPr>
            </w:pPr>
            <w:r w:rsidRPr="005054C1">
              <w:rPr>
                <w:b/>
              </w:rPr>
              <w:t xml:space="preserve">Graded homework #1 </w:t>
            </w:r>
            <w:r>
              <w:rPr>
                <w:b/>
              </w:rPr>
              <w:t>(Source of Income / Allocation</w:t>
            </w:r>
            <w:r w:rsidR="00476953">
              <w:rPr>
                <w:b/>
              </w:rPr>
              <w:t xml:space="preserve"> of Expenses)</w:t>
            </w:r>
            <w:r>
              <w:rPr>
                <w:b/>
              </w:rPr>
              <w:t xml:space="preserve"> is </w:t>
            </w:r>
            <w:r w:rsidRPr="005054C1">
              <w:rPr>
                <w:b/>
              </w:rPr>
              <w:t xml:space="preserve">due by </w:t>
            </w:r>
            <w:r w:rsidR="00476953">
              <w:rPr>
                <w:b/>
              </w:rPr>
              <w:t xml:space="preserve">Thursday, </w:t>
            </w:r>
            <w:r w:rsidRPr="005054C1">
              <w:rPr>
                <w:b/>
              </w:rPr>
              <w:t xml:space="preserve">May </w:t>
            </w:r>
            <w:r w:rsidR="00476953">
              <w:rPr>
                <w:b/>
              </w:rPr>
              <w:t>7.</w:t>
            </w:r>
          </w:p>
          <w:p w:rsidR="005054C1" w:rsidRDefault="005054C1" w:rsidP="005054C1">
            <w:pPr>
              <w:rPr>
                <w:u w:val="single"/>
              </w:rPr>
            </w:pPr>
          </w:p>
          <w:p w:rsidR="005054C1" w:rsidRDefault="005054C1" w:rsidP="005054C1">
            <w:pPr>
              <w:rPr>
                <w:u w:val="single"/>
              </w:rPr>
            </w:pPr>
          </w:p>
          <w:p w:rsidR="005054C1" w:rsidRPr="005054C1" w:rsidRDefault="005054C1" w:rsidP="00696BF7">
            <w:pPr>
              <w:rPr>
                <w:b/>
              </w:rPr>
            </w:pPr>
          </w:p>
        </w:tc>
      </w:tr>
      <w:tr w:rsidR="008D0E33" w:rsidRPr="00592989" w:rsidTr="00476953">
        <w:tc>
          <w:tcPr>
            <w:tcW w:w="344" w:type="dxa"/>
          </w:tcPr>
          <w:p w:rsidR="008D0E33" w:rsidRPr="00592989" w:rsidRDefault="00D1673F" w:rsidP="00BA76F8">
            <w:pPr>
              <w:pStyle w:val="Tabletext"/>
              <w:keepNext/>
              <w:rPr>
                <w:b/>
                <w:sz w:val="22"/>
                <w:szCs w:val="22"/>
              </w:rPr>
            </w:pPr>
            <w:r>
              <w:br w:type="page"/>
            </w:r>
            <w:r w:rsidR="008D0E33" w:rsidRPr="00592989">
              <w:rPr>
                <w:b/>
                <w:sz w:val="22"/>
                <w:szCs w:val="22"/>
              </w:rPr>
              <w:t>6</w:t>
            </w:r>
          </w:p>
        </w:tc>
        <w:tc>
          <w:tcPr>
            <w:tcW w:w="990" w:type="dxa"/>
          </w:tcPr>
          <w:p w:rsidR="008D0E33" w:rsidRPr="00592989" w:rsidRDefault="008D0E33" w:rsidP="001934C2">
            <w:pPr>
              <w:pStyle w:val="Tabletext"/>
              <w:spacing w:before="0" w:after="120"/>
              <w:jc w:val="center"/>
              <w:rPr>
                <w:sz w:val="22"/>
                <w:szCs w:val="22"/>
              </w:rPr>
            </w:pPr>
            <w:r w:rsidRPr="00592989">
              <w:rPr>
                <w:sz w:val="22"/>
                <w:szCs w:val="22"/>
              </w:rPr>
              <w:t>Tuesday May 10</w:t>
            </w:r>
          </w:p>
        </w:tc>
        <w:tc>
          <w:tcPr>
            <w:tcW w:w="5130" w:type="dxa"/>
            <w:gridSpan w:val="2"/>
          </w:tcPr>
          <w:p w:rsidR="008D0E33" w:rsidRPr="00592989" w:rsidRDefault="008D0E33" w:rsidP="000B2F17">
            <w:pPr>
              <w:rPr>
                <w:color w:val="000000"/>
                <w:sz w:val="22"/>
                <w:szCs w:val="22"/>
              </w:rPr>
            </w:pPr>
            <w:r w:rsidRPr="00592989">
              <w:rPr>
                <w:color w:val="000000"/>
                <w:sz w:val="22"/>
                <w:szCs w:val="22"/>
              </w:rPr>
              <w:t>Taxation of US Taxpayer’s Foreign Activities:  Controlled Foreign Corporations Part II</w:t>
            </w:r>
          </w:p>
          <w:p w:rsidR="008D0E33" w:rsidRPr="00592989" w:rsidRDefault="00CD1466" w:rsidP="001934C2">
            <w:pPr>
              <w:numPr>
                <w:ilvl w:val="0"/>
                <w:numId w:val="11"/>
              </w:numPr>
              <w:rPr>
                <w:color w:val="000000"/>
                <w:sz w:val="22"/>
                <w:szCs w:val="22"/>
                <w:u w:val="single"/>
              </w:rPr>
            </w:pPr>
            <w:r>
              <w:rPr>
                <w:color w:val="000000"/>
                <w:sz w:val="22"/>
                <w:szCs w:val="22"/>
              </w:rPr>
              <w:t>Continue discussion of the three main types of subpart F income</w:t>
            </w:r>
          </w:p>
          <w:p w:rsidR="008D0E33" w:rsidRPr="00592989" w:rsidRDefault="008D0E33" w:rsidP="001934C2">
            <w:pPr>
              <w:numPr>
                <w:ilvl w:val="0"/>
                <w:numId w:val="11"/>
              </w:numPr>
              <w:rPr>
                <w:color w:val="000000"/>
                <w:sz w:val="22"/>
                <w:szCs w:val="22"/>
                <w:u w:val="single"/>
              </w:rPr>
            </w:pPr>
            <w:r w:rsidRPr="00592989">
              <w:rPr>
                <w:color w:val="000000"/>
                <w:sz w:val="22"/>
                <w:szCs w:val="22"/>
              </w:rPr>
              <w:t xml:space="preserve">Subpart F Mechanics –Calculation of </w:t>
            </w:r>
            <w:r w:rsidR="00CD1466">
              <w:rPr>
                <w:color w:val="000000"/>
                <w:sz w:val="22"/>
                <w:szCs w:val="22"/>
              </w:rPr>
              <w:t xml:space="preserve">a subpart F </w:t>
            </w:r>
            <w:r w:rsidRPr="00592989">
              <w:rPr>
                <w:color w:val="000000"/>
                <w:sz w:val="22"/>
                <w:szCs w:val="22"/>
              </w:rPr>
              <w:t xml:space="preserve">inclusion and indirect credit, </w:t>
            </w:r>
            <w:r w:rsidR="00CD1466">
              <w:rPr>
                <w:color w:val="000000"/>
                <w:sz w:val="22"/>
                <w:szCs w:val="22"/>
              </w:rPr>
              <w:t xml:space="preserve">impact of an inclusion on </w:t>
            </w:r>
            <w:r w:rsidRPr="00592989">
              <w:rPr>
                <w:color w:val="000000"/>
                <w:sz w:val="22"/>
                <w:szCs w:val="22"/>
              </w:rPr>
              <w:t>Previously Taxed Income (PTI)</w:t>
            </w:r>
            <w:r w:rsidR="00CD1466">
              <w:rPr>
                <w:color w:val="000000"/>
                <w:sz w:val="22"/>
                <w:szCs w:val="22"/>
              </w:rPr>
              <w:t xml:space="preserve">, E&amp;P / tax pools </w:t>
            </w:r>
            <w:r w:rsidRPr="00592989">
              <w:rPr>
                <w:color w:val="000000"/>
                <w:sz w:val="22"/>
                <w:szCs w:val="22"/>
              </w:rPr>
              <w:t xml:space="preserve"> &amp; </w:t>
            </w:r>
            <w:r w:rsidR="00CD1466">
              <w:rPr>
                <w:color w:val="000000"/>
                <w:sz w:val="22"/>
                <w:szCs w:val="22"/>
              </w:rPr>
              <w:t xml:space="preserve">stock </w:t>
            </w:r>
            <w:r w:rsidRPr="00592989">
              <w:rPr>
                <w:color w:val="000000"/>
                <w:sz w:val="22"/>
                <w:szCs w:val="22"/>
              </w:rPr>
              <w:t xml:space="preserve">basis </w:t>
            </w:r>
          </w:p>
          <w:p w:rsidR="008D0E33" w:rsidRPr="00592989" w:rsidRDefault="008D0E33" w:rsidP="001934C2">
            <w:pPr>
              <w:numPr>
                <w:ilvl w:val="0"/>
                <w:numId w:val="11"/>
              </w:numPr>
              <w:rPr>
                <w:color w:val="000000"/>
                <w:sz w:val="22"/>
                <w:szCs w:val="22"/>
              </w:rPr>
            </w:pPr>
            <w:r w:rsidRPr="00592989">
              <w:rPr>
                <w:color w:val="000000"/>
                <w:sz w:val="22"/>
                <w:szCs w:val="22"/>
              </w:rPr>
              <w:t>Section 956 Investments in United States Property</w:t>
            </w:r>
          </w:p>
          <w:p w:rsidR="008D0E33" w:rsidRPr="00CD1466" w:rsidRDefault="008D0E33" w:rsidP="001934C2">
            <w:pPr>
              <w:numPr>
                <w:ilvl w:val="0"/>
                <w:numId w:val="11"/>
              </w:numPr>
              <w:rPr>
                <w:color w:val="000000"/>
                <w:sz w:val="22"/>
                <w:szCs w:val="22"/>
                <w:u w:val="single"/>
              </w:rPr>
            </w:pPr>
            <w:r w:rsidRPr="00592989">
              <w:rPr>
                <w:color w:val="000000"/>
                <w:sz w:val="22"/>
                <w:szCs w:val="22"/>
              </w:rPr>
              <w:t>Example of maintaining E&amp;P pools of undistributed E&amp;P and PTI</w:t>
            </w:r>
          </w:p>
          <w:p w:rsidR="00CD1466" w:rsidRPr="00592989" w:rsidRDefault="00CD1466" w:rsidP="001934C2">
            <w:pPr>
              <w:numPr>
                <w:ilvl w:val="0"/>
                <w:numId w:val="11"/>
              </w:numPr>
              <w:rPr>
                <w:color w:val="000000"/>
                <w:sz w:val="22"/>
                <w:szCs w:val="22"/>
                <w:u w:val="single"/>
              </w:rPr>
            </w:pPr>
            <w:r>
              <w:rPr>
                <w:color w:val="000000"/>
                <w:sz w:val="22"/>
                <w:szCs w:val="22"/>
              </w:rPr>
              <w:t>Review Material Covered to Date.</w:t>
            </w:r>
          </w:p>
          <w:p w:rsidR="008D0E33" w:rsidRPr="00592989" w:rsidRDefault="008D0E33" w:rsidP="001934C2">
            <w:pPr>
              <w:pStyle w:val="Tabletext"/>
              <w:spacing w:before="0" w:after="120"/>
              <w:rPr>
                <w:sz w:val="22"/>
                <w:szCs w:val="22"/>
              </w:rPr>
            </w:pPr>
          </w:p>
        </w:tc>
        <w:tc>
          <w:tcPr>
            <w:tcW w:w="5490" w:type="dxa"/>
          </w:tcPr>
          <w:p w:rsidR="008D0E33" w:rsidRDefault="00476953" w:rsidP="00F81F3C">
            <w:pPr>
              <w:rPr>
                <w:sz w:val="22"/>
                <w:szCs w:val="22"/>
              </w:rPr>
            </w:pPr>
            <w:r>
              <w:rPr>
                <w:sz w:val="22"/>
                <w:szCs w:val="22"/>
              </w:rPr>
              <w:t>Same Nutshell and BNA Foundations reading as class No.5</w:t>
            </w:r>
          </w:p>
          <w:p w:rsidR="00A75C7D" w:rsidRDefault="00A75C7D" w:rsidP="00F81F3C">
            <w:pPr>
              <w:rPr>
                <w:sz w:val="22"/>
                <w:szCs w:val="22"/>
              </w:rPr>
            </w:pPr>
            <w:r>
              <w:rPr>
                <w:sz w:val="22"/>
                <w:szCs w:val="22"/>
                <w:u w:val="single"/>
              </w:rPr>
              <w:t>Greenfield v. Commissioner</w:t>
            </w:r>
            <w:r>
              <w:rPr>
                <w:sz w:val="22"/>
                <w:szCs w:val="22"/>
              </w:rPr>
              <w:t>, 60 TC 425 (1973)</w:t>
            </w:r>
          </w:p>
          <w:p w:rsidR="00A75C7D" w:rsidRPr="00A75C7D" w:rsidRDefault="00A75C7D" w:rsidP="00F81F3C">
            <w:pPr>
              <w:rPr>
                <w:sz w:val="22"/>
                <w:szCs w:val="22"/>
              </w:rPr>
            </w:pPr>
            <w:r>
              <w:rPr>
                <w:sz w:val="22"/>
                <w:szCs w:val="22"/>
              </w:rPr>
              <w:t>Excerpts from the Senate PSI Subcommittee Report on Profit Shifting (September 2012)</w:t>
            </w:r>
          </w:p>
          <w:p w:rsidR="008D0E33" w:rsidRDefault="00DC39EF" w:rsidP="001934C2">
            <w:pPr>
              <w:rPr>
                <w:sz w:val="22"/>
                <w:szCs w:val="22"/>
              </w:rPr>
            </w:pPr>
            <w:r>
              <w:rPr>
                <w:sz w:val="22"/>
                <w:szCs w:val="22"/>
              </w:rPr>
              <w:t xml:space="preserve">Excerpts from Notice of Proposed Rulemaking on Contract Manufacturing under § 954(d), </w:t>
            </w:r>
            <w:r w:rsidRPr="00DC39EF">
              <w:rPr>
                <w:sz w:val="22"/>
                <w:szCs w:val="22"/>
              </w:rPr>
              <w:t>NPRM REG-124590-07</w:t>
            </w:r>
            <w:r>
              <w:rPr>
                <w:sz w:val="22"/>
                <w:szCs w:val="22"/>
              </w:rPr>
              <w:t xml:space="preserve"> (Feb. 28, 2008)</w:t>
            </w:r>
          </w:p>
          <w:p w:rsidR="00DC39EF" w:rsidRDefault="00DC39EF" w:rsidP="00DC39EF">
            <w:r>
              <w:t>IRS Notice 2007-13</w:t>
            </w:r>
          </w:p>
          <w:p w:rsidR="008D0E33" w:rsidRPr="00592989" w:rsidRDefault="00DC39EF" w:rsidP="00DC39EF">
            <w:pPr>
              <w:rPr>
                <w:sz w:val="22"/>
                <w:szCs w:val="22"/>
              </w:rPr>
            </w:pPr>
            <w:r>
              <w:rPr>
                <w:sz w:val="22"/>
                <w:szCs w:val="22"/>
              </w:rPr>
              <w:t>IRS Notice 98-11 and IRS Notice 98-35 (withdrawing IRS Notice 98-11)</w:t>
            </w:r>
          </w:p>
        </w:tc>
        <w:tc>
          <w:tcPr>
            <w:tcW w:w="3150" w:type="dxa"/>
          </w:tcPr>
          <w:p w:rsidR="008D0E33" w:rsidRPr="00592989" w:rsidRDefault="005054C1" w:rsidP="001934C2">
            <w:pPr>
              <w:pStyle w:val="Tabletext"/>
              <w:spacing w:before="0" w:after="120"/>
              <w:rPr>
                <w:sz w:val="22"/>
                <w:szCs w:val="22"/>
              </w:rPr>
            </w:pPr>
            <w:r>
              <w:rPr>
                <w:sz w:val="22"/>
                <w:szCs w:val="22"/>
              </w:rPr>
              <w:t xml:space="preserve">No graded homework, but </w:t>
            </w:r>
            <w:r w:rsidR="00DC39EF">
              <w:rPr>
                <w:sz w:val="22"/>
                <w:szCs w:val="22"/>
              </w:rPr>
              <w:t xml:space="preserve">please complete </w:t>
            </w:r>
            <w:r w:rsidR="00476953">
              <w:rPr>
                <w:sz w:val="22"/>
                <w:szCs w:val="22"/>
                <w:u w:val="single"/>
              </w:rPr>
              <w:t>preparation assignment #5/#6</w:t>
            </w:r>
            <w:r>
              <w:rPr>
                <w:sz w:val="22"/>
                <w:szCs w:val="22"/>
              </w:rPr>
              <w:t>.</w:t>
            </w:r>
          </w:p>
        </w:tc>
      </w:tr>
      <w:tr w:rsidR="008D0E33" w:rsidRPr="00592989" w:rsidTr="00476953">
        <w:tc>
          <w:tcPr>
            <w:tcW w:w="344" w:type="dxa"/>
          </w:tcPr>
          <w:p w:rsidR="008D0E33" w:rsidRPr="00592989" w:rsidRDefault="008D0E33" w:rsidP="00BA76F8">
            <w:pPr>
              <w:pStyle w:val="Tabletext"/>
              <w:keepNext/>
              <w:rPr>
                <w:b/>
                <w:sz w:val="22"/>
                <w:szCs w:val="22"/>
              </w:rPr>
            </w:pPr>
            <w:r w:rsidRPr="00592989">
              <w:rPr>
                <w:b/>
                <w:sz w:val="22"/>
                <w:szCs w:val="22"/>
              </w:rPr>
              <w:lastRenderedPageBreak/>
              <w:t>7</w:t>
            </w:r>
          </w:p>
        </w:tc>
        <w:tc>
          <w:tcPr>
            <w:tcW w:w="990" w:type="dxa"/>
          </w:tcPr>
          <w:p w:rsidR="008D0E33" w:rsidRPr="00592989" w:rsidRDefault="008D0E33" w:rsidP="001934C2">
            <w:pPr>
              <w:pStyle w:val="Tabletext"/>
              <w:spacing w:before="0" w:after="120"/>
              <w:jc w:val="center"/>
              <w:rPr>
                <w:sz w:val="22"/>
                <w:szCs w:val="22"/>
              </w:rPr>
            </w:pPr>
            <w:r w:rsidRPr="00592989">
              <w:rPr>
                <w:sz w:val="22"/>
                <w:szCs w:val="22"/>
              </w:rPr>
              <w:t>Tuesday May 17</w:t>
            </w:r>
          </w:p>
        </w:tc>
        <w:tc>
          <w:tcPr>
            <w:tcW w:w="5130" w:type="dxa"/>
            <w:gridSpan w:val="2"/>
          </w:tcPr>
          <w:p w:rsidR="008D0E33" w:rsidRPr="00592989" w:rsidRDefault="008D0E33" w:rsidP="00F05915">
            <w:pPr>
              <w:keepNext/>
              <w:keepLines/>
              <w:rPr>
                <w:bCs/>
                <w:color w:val="000000"/>
                <w:sz w:val="22"/>
                <w:szCs w:val="22"/>
              </w:rPr>
            </w:pPr>
            <w:r w:rsidRPr="00592989">
              <w:rPr>
                <w:bCs/>
                <w:color w:val="000000"/>
                <w:sz w:val="22"/>
                <w:szCs w:val="22"/>
              </w:rPr>
              <w:t>Intercompany Pricing under Section 482</w:t>
            </w:r>
          </w:p>
          <w:p w:rsidR="008D0E33" w:rsidRPr="00592989" w:rsidRDefault="008D0E33" w:rsidP="00F05915">
            <w:pPr>
              <w:keepNext/>
              <w:keepLines/>
              <w:numPr>
                <w:ilvl w:val="0"/>
                <w:numId w:val="13"/>
              </w:numPr>
              <w:rPr>
                <w:color w:val="000000"/>
                <w:sz w:val="22"/>
                <w:szCs w:val="22"/>
              </w:rPr>
            </w:pPr>
            <w:r w:rsidRPr="00592989">
              <w:rPr>
                <w:color w:val="000000"/>
                <w:sz w:val="22"/>
                <w:szCs w:val="22"/>
              </w:rPr>
              <w:t>Arm’s Length standard under the Code and US tax treaties</w:t>
            </w:r>
          </w:p>
          <w:p w:rsidR="008D0E33" w:rsidRPr="00592989" w:rsidRDefault="008D0E33" w:rsidP="00F05915">
            <w:pPr>
              <w:keepNext/>
              <w:keepLines/>
              <w:numPr>
                <w:ilvl w:val="0"/>
                <w:numId w:val="13"/>
              </w:numPr>
              <w:rPr>
                <w:color w:val="000000"/>
                <w:sz w:val="22"/>
                <w:szCs w:val="22"/>
              </w:rPr>
            </w:pPr>
            <w:r w:rsidRPr="00592989">
              <w:rPr>
                <w:color w:val="000000"/>
                <w:sz w:val="22"/>
                <w:szCs w:val="22"/>
              </w:rPr>
              <w:t xml:space="preserve">Examples of how transfer pricing applies to sales of tangible property, intercompany services, and IP transactions </w:t>
            </w:r>
          </w:p>
          <w:p w:rsidR="008D0E33" w:rsidRPr="00592989" w:rsidRDefault="008D0E33" w:rsidP="00F05915">
            <w:pPr>
              <w:keepNext/>
              <w:keepLines/>
              <w:numPr>
                <w:ilvl w:val="0"/>
                <w:numId w:val="13"/>
              </w:numPr>
              <w:rPr>
                <w:color w:val="000000"/>
                <w:sz w:val="22"/>
                <w:szCs w:val="22"/>
              </w:rPr>
            </w:pPr>
            <w:r w:rsidRPr="00592989">
              <w:rPr>
                <w:color w:val="000000"/>
                <w:sz w:val="22"/>
                <w:szCs w:val="22"/>
              </w:rPr>
              <w:t>Review</w:t>
            </w:r>
            <w:r w:rsidR="00192133">
              <w:rPr>
                <w:color w:val="000000"/>
                <w:sz w:val="22"/>
                <w:szCs w:val="22"/>
              </w:rPr>
              <w:t xml:space="preserve"> and understand important differences between</w:t>
            </w:r>
            <w:r w:rsidRPr="00592989">
              <w:rPr>
                <w:color w:val="000000"/>
                <w:sz w:val="22"/>
                <w:szCs w:val="22"/>
              </w:rPr>
              <w:t xml:space="preserve"> transfer pricing methods for tangible property sales by the taxpayer: </w:t>
            </w:r>
          </w:p>
          <w:p w:rsidR="008D0E33" w:rsidRPr="00592989" w:rsidRDefault="008D0E33" w:rsidP="00F05915">
            <w:pPr>
              <w:keepNext/>
              <w:keepLines/>
              <w:numPr>
                <w:ilvl w:val="1"/>
                <w:numId w:val="13"/>
              </w:numPr>
              <w:rPr>
                <w:color w:val="000000"/>
                <w:sz w:val="22"/>
                <w:szCs w:val="22"/>
              </w:rPr>
            </w:pPr>
            <w:r w:rsidRPr="00592989">
              <w:rPr>
                <w:color w:val="000000"/>
                <w:sz w:val="22"/>
                <w:szCs w:val="22"/>
              </w:rPr>
              <w:t xml:space="preserve">CUT </w:t>
            </w:r>
          </w:p>
          <w:p w:rsidR="008D0E33" w:rsidRPr="00592989" w:rsidRDefault="008D0E33" w:rsidP="00DD7B0B">
            <w:pPr>
              <w:keepNext/>
              <w:keepLines/>
              <w:numPr>
                <w:ilvl w:val="1"/>
                <w:numId w:val="13"/>
              </w:numPr>
              <w:rPr>
                <w:color w:val="000000"/>
                <w:sz w:val="22"/>
                <w:szCs w:val="22"/>
              </w:rPr>
            </w:pPr>
            <w:r w:rsidRPr="00592989">
              <w:rPr>
                <w:color w:val="000000"/>
                <w:sz w:val="22"/>
                <w:szCs w:val="22"/>
              </w:rPr>
              <w:t xml:space="preserve">Resale minus / Cost-Plus </w:t>
            </w:r>
          </w:p>
          <w:p w:rsidR="008D0E33" w:rsidRPr="00592989" w:rsidRDefault="008D0E33" w:rsidP="00F05915">
            <w:pPr>
              <w:numPr>
                <w:ilvl w:val="1"/>
                <w:numId w:val="13"/>
              </w:numPr>
              <w:rPr>
                <w:color w:val="000000"/>
                <w:sz w:val="22"/>
                <w:szCs w:val="22"/>
              </w:rPr>
            </w:pPr>
            <w:r w:rsidRPr="00592989">
              <w:rPr>
                <w:color w:val="000000"/>
                <w:sz w:val="22"/>
                <w:szCs w:val="22"/>
              </w:rPr>
              <w:t>CPM</w:t>
            </w:r>
          </w:p>
          <w:p w:rsidR="008D0E33" w:rsidRPr="00592989" w:rsidRDefault="008D0E33" w:rsidP="00DD7B0B">
            <w:pPr>
              <w:numPr>
                <w:ilvl w:val="0"/>
                <w:numId w:val="13"/>
              </w:numPr>
              <w:rPr>
                <w:color w:val="000000"/>
                <w:sz w:val="22"/>
                <w:szCs w:val="22"/>
              </w:rPr>
            </w:pPr>
            <w:r w:rsidRPr="00592989">
              <w:rPr>
                <w:color w:val="000000"/>
                <w:sz w:val="22"/>
                <w:szCs w:val="22"/>
              </w:rPr>
              <w:t xml:space="preserve">Procedural aspects of transfer pricing:  documentation requirements, competent authority, collateral effects of a transfer pricing adjustment </w:t>
            </w:r>
          </w:p>
          <w:p w:rsidR="008D0E33" w:rsidRPr="00592989" w:rsidRDefault="008D0E33" w:rsidP="00F05915">
            <w:pPr>
              <w:rPr>
                <w:color w:val="000000"/>
                <w:sz w:val="22"/>
                <w:szCs w:val="22"/>
              </w:rPr>
            </w:pPr>
          </w:p>
        </w:tc>
        <w:tc>
          <w:tcPr>
            <w:tcW w:w="5490" w:type="dxa"/>
          </w:tcPr>
          <w:p w:rsidR="008D0E33" w:rsidRDefault="008D0E33" w:rsidP="00F05915">
            <w:pPr>
              <w:rPr>
                <w:sz w:val="22"/>
                <w:szCs w:val="22"/>
              </w:rPr>
            </w:pPr>
            <w:r>
              <w:rPr>
                <w:sz w:val="22"/>
                <w:szCs w:val="22"/>
              </w:rPr>
              <w:t>NUTSHELL</w:t>
            </w:r>
            <w:r w:rsidRPr="00592989">
              <w:rPr>
                <w:sz w:val="22"/>
                <w:szCs w:val="22"/>
              </w:rPr>
              <w:t>, Chapter 9</w:t>
            </w:r>
          </w:p>
          <w:p w:rsidR="008D0E33" w:rsidRPr="00592989" w:rsidRDefault="008D0E33" w:rsidP="00F05915">
            <w:pPr>
              <w:rPr>
                <w:sz w:val="22"/>
                <w:szCs w:val="22"/>
              </w:rPr>
            </w:pPr>
            <w:r w:rsidRPr="00592989">
              <w:rPr>
                <w:sz w:val="22"/>
                <w:szCs w:val="22"/>
              </w:rPr>
              <w:t xml:space="preserve">Article 9 of 2006 US Model Income Tax Convention and Related Portion of Technical Explanation </w:t>
            </w:r>
          </w:p>
          <w:p w:rsidR="008D0E33" w:rsidRPr="00592989" w:rsidRDefault="008D0E33" w:rsidP="00F05915">
            <w:pPr>
              <w:rPr>
                <w:sz w:val="22"/>
                <w:szCs w:val="22"/>
              </w:rPr>
            </w:pPr>
            <w:r w:rsidRPr="00592989">
              <w:rPr>
                <w:sz w:val="22"/>
                <w:szCs w:val="22"/>
              </w:rPr>
              <w:t>IRS IPU Manuals, “Overview of Section 482” (August 2015)</w:t>
            </w:r>
          </w:p>
          <w:p w:rsidR="008D0E33" w:rsidRPr="00592989" w:rsidRDefault="008D0E33" w:rsidP="00F05915">
            <w:pPr>
              <w:rPr>
                <w:sz w:val="22"/>
                <w:szCs w:val="22"/>
              </w:rPr>
            </w:pPr>
            <w:r w:rsidRPr="00592989">
              <w:rPr>
                <w:sz w:val="22"/>
                <w:szCs w:val="22"/>
              </w:rPr>
              <w:t xml:space="preserve">“Arms-Length Standard” (December 2014) </w:t>
            </w:r>
          </w:p>
          <w:p w:rsidR="008D0E33" w:rsidRPr="00592989" w:rsidRDefault="008D0E33" w:rsidP="00F05915">
            <w:pPr>
              <w:rPr>
                <w:sz w:val="22"/>
                <w:szCs w:val="22"/>
              </w:rPr>
            </w:pPr>
            <w:r w:rsidRPr="00592989">
              <w:rPr>
                <w:sz w:val="22"/>
                <w:szCs w:val="22"/>
              </w:rPr>
              <w:t>“Sale of Tangible Property from a CFC to USP – CUP” (December 2014)</w:t>
            </w:r>
          </w:p>
          <w:p w:rsidR="008D0E33" w:rsidRDefault="008D0E33" w:rsidP="00F05915">
            <w:pPr>
              <w:rPr>
                <w:sz w:val="22"/>
                <w:szCs w:val="22"/>
              </w:rPr>
            </w:pPr>
            <w:r w:rsidRPr="00592989">
              <w:rPr>
                <w:sz w:val="22"/>
                <w:szCs w:val="22"/>
              </w:rPr>
              <w:t>“CPM Simple Outbound Distributor” (December 2014)</w:t>
            </w:r>
          </w:p>
          <w:p w:rsidR="00757641" w:rsidRPr="00592989" w:rsidRDefault="00757641" w:rsidP="00757641">
            <w:pPr>
              <w:rPr>
                <w:sz w:val="22"/>
                <w:szCs w:val="22"/>
              </w:rPr>
            </w:pPr>
            <w:r>
              <w:rPr>
                <w:sz w:val="22"/>
                <w:szCs w:val="22"/>
              </w:rPr>
              <w:t>Reuven Avi-Yonah, “</w:t>
            </w:r>
            <w:r w:rsidRPr="00757641">
              <w:rPr>
                <w:sz w:val="22"/>
                <w:szCs w:val="22"/>
              </w:rPr>
              <w:t>BETWEEN FORMULARY APPORTIONMENT</w:t>
            </w:r>
            <w:r>
              <w:rPr>
                <w:sz w:val="22"/>
                <w:szCs w:val="22"/>
              </w:rPr>
              <w:t xml:space="preserve"> AND THE OECD GUIDELINES: </w:t>
            </w:r>
            <w:r w:rsidRPr="00757641">
              <w:rPr>
                <w:sz w:val="22"/>
                <w:szCs w:val="22"/>
              </w:rPr>
              <w:t>A PROPOSAL FOR RECONCILIATION</w:t>
            </w:r>
            <w:r>
              <w:rPr>
                <w:sz w:val="22"/>
                <w:szCs w:val="22"/>
              </w:rPr>
              <w:t>” (2009)</w:t>
            </w:r>
          </w:p>
          <w:p w:rsidR="008D0E33" w:rsidRPr="00592989" w:rsidRDefault="008D0E33" w:rsidP="00F05915">
            <w:pPr>
              <w:rPr>
                <w:sz w:val="22"/>
                <w:szCs w:val="22"/>
              </w:rPr>
            </w:pPr>
          </w:p>
        </w:tc>
        <w:tc>
          <w:tcPr>
            <w:tcW w:w="3150" w:type="dxa"/>
          </w:tcPr>
          <w:p w:rsidR="008D0E33" w:rsidRDefault="005054C1" w:rsidP="00F05915">
            <w:pPr>
              <w:rPr>
                <w:sz w:val="22"/>
                <w:szCs w:val="22"/>
              </w:rPr>
            </w:pPr>
            <w:r w:rsidRPr="00696BF7">
              <w:rPr>
                <w:b/>
                <w:sz w:val="22"/>
                <w:szCs w:val="22"/>
              </w:rPr>
              <w:t xml:space="preserve">Graded Homework No. 2 </w:t>
            </w:r>
            <w:r w:rsidR="00696BF7" w:rsidRPr="00696BF7">
              <w:rPr>
                <w:b/>
                <w:sz w:val="22"/>
                <w:szCs w:val="22"/>
              </w:rPr>
              <w:t xml:space="preserve">(Foreign Tax Credit / Subpart F) </w:t>
            </w:r>
            <w:r w:rsidRPr="00696BF7">
              <w:rPr>
                <w:b/>
                <w:sz w:val="22"/>
                <w:szCs w:val="22"/>
              </w:rPr>
              <w:t>is due</w:t>
            </w:r>
            <w:r w:rsidR="0054239D">
              <w:rPr>
                <w:b/>
                <w:sz w:val="22"/>
                <w:szCs w:val="22"/>
              </w:rPr>
              <w:t xml:space="preserve"> today, May 17</w:t>
            </w:r>
          </w:p>
          <w:p w:rsidR="00DC39EF" w:rsidRPr="00DC39EF" w:rsidRDefault="00DC39EF" w:rsidP="00696BF7">
            <w:pPr>
              <w:rPr>
                <w:sz w:val="22"/>
                <w:szCs w:val="22"/>
              </w:rPr>
            </w:pPr>
            <w:r w:rsidRPr="00DC39EF">
              <w:rPr>
                <w:sz w:val="22"/>
                <w:szCs w:val="22"/>
              </w:rPr>
              <w:t>Plea</w:t>
            </w:r>
            <w:r>
              <w:rPr>
                <w:sz w:val="22"/>
                <w:szCs w:val="22"/>
              </w:rPr>
              <w:t xml:space="preserve">se also complete </w:t>
            </w:r>
            <w:r w:rsidRPr="00757641">
              <w:rPr>
                <w:sz w:val="22"/>
                <w:szCs w:val="22"/>
                <w:u w:val="single"/>
              </w:rPr>
              <w:t>preparation assignment #7</w:t>
            </w:r>
            <w:r>
              <w:rPr>
                <w:sz w:val="22"/>
                <w:szCs w:val="22"/>
              </w:rPr>
              <w:t>.</w:t>
            </w:r>
          </w:p>
          <w:p w:rsidR="00696BF7" w:rsidRPr="00592989" w:rsidRDefault="00696BF7" w:rsidP="00696BF7">
            <w:pPr>
              <w:rPr>
                <w:sz w:val="22"/>
                <w:szCs w:val="22"/>
              </w:rPr>
            </w:pPr>
          </w:p>
        </w:tc>
      </w:tr>
      <w:tr w:rsidR="008D0E33" w:rsidRPr="00592989" w:rsidTr="00476953">
        <w:tc>
          <w:tcPr>
            <w:tcW w:w="344" w:type="dxa"/>
          </w:tcPr>
          <w:p w:rsidR="008D0E33" w:rsidRPr="00592989" w:rsidRDefault="00757641" w:rsidP="00BA76F8">
            <w:pPr>
              <w:pStyle w:val="Tabletext"/>
              <w:keepNext/>
              <w:rPr>
                <w:b/>
                <w:sz w:val="22"/>
                <w:szCs w:val="22"/>
              </w:rPr>
            </w:pPr>
            <w:r>
              <w:br w:type="page"/>
            </w:r>
            <w:r w:rsidR="008D0E33" w:rsidRPr="00592989">
              <w:rPr>
                <w:b/>
                <w:sz w:val="22"/>
                <w:szCs w:val="22"/>
              </w:rPr>
              <w:t>8</w:t>
            </w:r>
          </w:p>
        </w:tc>
        <w:tc>
          <w:tcPr>
            <w:tcW w:w="990" w:type="dxa"/>
          </w:tcPr>
          <w:p w:rsidR="008D0E33" w:rsidRPr="00592989" w:rsidRDefault="008D0E33" w:rsidP="00B929D6">
            <w:pPr>
              <w:pStyle w:val="Tabletext"/>
              <w:keepNext/>
              <w:jc w:val="center"/>
              <w:rPr>
                <w:sz w:val="22"/>
                <w:szCs w:val="22"/>
              </w:rPr>
            </w:pPr>
            <w:r w:rsidRPr="00592989">
              <w:rPr>
                <w:sz w:val="22"/>
                <w:szCs w:val="22"/>
              </w:rPr>
              <w:t>Tuesday May 24</w:t>
            </w:r>
          </w:p>
        </w:tc>
        <w:tc>
          <w:tcPr>
            <w:tcW w:w="5130" w:type="dxa"/>
            <w:gridSpan w:val="2"/>
          </w:tcPr>
          <w:p w:rsidR="008D0E33" w:rsidRPr="00592989" w:rsidRDefault="008D0E33" w:rsidP="00DD7B0B">
            <w:pPr>
              <w:pStyle w:val="Tabletext"/>
              <w:keepNext/>
              <w:spacing w:before="0" w:after="120"/>
              <w:rPr>
                <w:sz w:val="22"/>
                <w:szCs w:val="22"/>
              </w:rPr>
            </w:pPr>
            <w:r w:rsidRPr="00592989">
              <w:rPr>
                <w:sz w:val="22"/>
                <w:szCs w:val="22"/>
              </w:rPr>
              <w:t>Taxation of Foreign Taxpayers’ United States activities</w:t>
            </w:r>
          </w:p>
          <w:p w:rsidR="008D0E33" w:rsidRPr="00592989" w:rsidRDefault="008D0E33" w:rsidP="00DD7B0B">
            <w:pPr>
              <w:keepNext/>
              <w:numPr>
                <w:ilvl w:val="0"/>
                <w:numId w:val="6"/>
              </w:numPr>
              <w:rPr>
                <w:color w:val="000000"/>
                <w:sz w:val="22"/>
                <w:szCs w:val="22"/>
              </w:rPr>
            </w:pPr>
            <w:r w:rsidRPr="00592989">
              <w:rPr>
                <w:color w:val="000000"/>
                <w:sz w:val="22"/>
                <w:szCs w:val="22"/>
              </w:rPr>
              <w:t>Withholding taxes</w:t>
            </w:r>
          </w:p>
          <w:p w:rsidR="008D0E33" w:rsidRPr="00592989" w:rsidRDefault="008D0E33" w:rsidP="00DD7B0B">
            <w:pPr>
              <w:keepNext/>
              <w:numPr>
                <w:ilvl w:val="1"/>
                <w:numId w:val="6"/>
              </w:numPr>
              <w:rPr>
                <w:color w:val="000000"/>
                <w:sz w:val="22"/>
                <w:szCs w:val="22"/>
              </w:rPr>
            </w:pPr>
            <w:r w:rsidRPr="00592989">
              <w:rPr>
                <w:color w:val="000000"/>
                <w:sz w:val="22"/>
                <w:szCs w:val="22"/>
              </w:rPr>
              <w:t>Code rules for FDAP income</w:t>
            </w:r>
          </w:p>
          <w:p w:rsidR="008D0E33" w:rsidRPr="00592989" w:rsidRDefault="008D0E33" w:rsidP="00DD7B0B">
            <w:pPr>
              <w:keepNext/>
              <w:numPr>
                <w:ilvl w:val="1"/>
                <w:numId w:val="6"/>
              </w:numPr>
              <w:rPr>
                <w:color w:val="000000"/>
                <w:sz w:val="22"/>
                <w:szCs w:val="22"/>
              </w:rPr>
            </w:pPr>
            <w:r w:rsidRPr="00592989">
              <w:rPr>
                <w:color w:val="000000"/>
                <w:sz w:val="22"/>
                <w:szCs w:val="22"/>
              </w:rPr>
              <w:t>Common treaty reductions</w:t>
            </w:r>
          </w:p>
          <w:p w:rsidR="008D0E33" w:rsidRPr="00592989" w:rsidRDefault="008D0E33" w:rsidP="00DD7B0B">
            <w:pPr>
              <w:keepNext/>
              <w:numPr>
                <w:ilvl w:val="1"/>
                <w:numId w:val="6"/>
              </w:numPr>
              <w:rPr>
                <w:color w:val="000000"/>
                <w:sz w:val="22"/>
                <w:szCs w:val="22"/>
              </w:rPr>
            </w:pPr>
            <w:r w:rsidRPr="00592989">
              <w:rPr>
                <w:color w:val="000000"/>
                <w:sz w:val="22"/>
                <w:szCs w:val="22"/>
              </w:rPr>
              <w:t>Tax reporting and compliance requirements for US payors of FDAP income</w:t>
            </w:r>
          </w:p>
          <w:p w:rsidR="008D0E33" w:rsidRPr="00592989" w:rsidRDefault="008D0E33" w:rsidP="00DD7B0B">
            <w:pPr>
              <w:keepNext/>
              <w:numPr>
                <w:ilvl w:val="0"/>
                <w:numId w:val="6"/>
              </w:numPr>
              <w:rPr>
                <w:color w:val="000000"/>
                <w:sz w:val="22"/>
                <w:szCs w:val="22"/>
              </w:rPr>
            </w:pPr>
            <w:r w:rsidRPr="00592989">
              <w:rPr>
                <w:color w:val="000000"/>
                <w:sz w:val="22"/>
                <w:szCs w:val="22"/>
              </w:rPr>
              <w:t>Taxes on foreign taxpayers doing business in the U.S. under the Code</w:t>
            </w:r>
          </w:p>
          <w:p w:rsidR="008D0E33" w:rsidRPr="00592989" w:rsidRDefault="008D0E33" w:rsidP="00FB4AD4">
            <w:pPr>
              <w:keepNext/>
              <w:numPr>
                <w:ilvl w:val="1"/>
                <w:numId w:val="6"/>
              </w:numPr>
              <w:rPr>
                <w:color w:val="000000"/>
                <w:sz w:val="22"/>
                <w:szCs w:val="22"/>
              </w:rPr>
            </w:pPr>
            <w:r w:rsidRPr="00592989">
              <w:rPr>
                <w:color w:val="000000"/>
                <w:sz w:val="22"/>
                <w:szCs w:val="22"/>
              </w:rPr>
              <w:t>Concept of a “US trade or business”</w:t>
            </w:r>
          </w:p>
          <w:p w:rsidR="008D0E33" w:rsidRPr="00592989" w:rsidRDefault="008D0E33" w:rsidP="00FB4AD4">
            <w:pPr>
              <w:keepNext/>
              <w:numPr>
                <w:ilvl w:val="1"/>
                <w:numId w:val="6"/>
              </w:numPr>
              <w:rPr>
                <w:color w:val="000000"/>
                <w:sz w:val="22"/>
                <w:szCs w:val="22"/>
              </w:rPr>
            </w:pPr>
            <w:r w:rsidRPr="00592989">
              <w:rPr>
                <w:color w:val="000000"/>
                <w:sz w:val="22"/>
                <w:szCs w:val="22"/>
              </w:rPr>
              <w:t>ECI and the “Force of Attraction” rule</w:t>
            </w:r>
          </w:p>
          <w:p w:rsidR="008D0E33" w:rsidRPr="00592989" w:rsidRDefault="00192133" w:rsidP="00FB4AD4">
            <w:pPr>
              <w:keepNext/>
              <w:numPr>
                <w:ilvl w:val="1"/>
                <w:numId w:val="6"/>
              </w:numPr>
              <w:rPr>
                <w:color w:val="000000"/>
                <w:sz w:val="22"/>
                <w:szCs w:val="22"/>
              </w:rPr>
            </w:pPr>
            <w:r>
              <w:rPr>
                <w:color w:val="000000"/>
                <w:sz w:val="22"/>
                <w:szCs w:val="22"/>
              </w:rPr>
              <w:t xml:space="preserve">Tax return filing requirement – the </w:t>
            </w:r>
            <w:r w:rsidR="008D0E33" w:rsidRPr="00592989">
              <w:rPr>
                <w:color w:val="000000"/>
                <w:sz w:val="22"/>
                <w:szCs w:val="22"/>
              </w:rPr>
              <w:t xml:space="preserve">timely filing </w:t>
            </w:r>
            <w:r>
              <w:rPr>
                <w:color w:val="000000"/>
                <w:sz w:val="22"/>
                <w:szCs w:val="22"/>
              </w:rPr>
              <w:t xml:space="preserve">rule </w:t>
            </w:r>
          </w:p>
          <w:p w:rsidR="008D0E33" w:rsidRPr="00592989" w:rsidRDefault="008D0E33" w:rsidP="00DD7B0B">
            <w:pPr>
              <w:keepNext/>
              <w:numPr>
                <w:ilvl w:val="0"/>
                <w:numId w:val="6"/>
              </w:numPr>
              <w:rPr>
                <w:color w:val="000000"/>
                <w:sz w:val="22"/>
                <w:szCs w:val="22"/>
              </w:rPr>
            </w:pPr>
            <w:r w:rsidRPr="00592989">
              <w:rPr>
                <w:color w:val="000000"/>
                <w:sz w:val="22"/>
                <w:szCs w:val="22"/>
              </w:rPr>
              <w:t xml:space="preserve">Impact of tax treaties &amp; the definition of a </w:t>
            </w:r>
            <w:r w:rsidRPr="00592989">
              <w:rPr>
                <w:color w:val="000000"/>
                <w:sz w:val="22"/>
                <w:szCs w:val="22"/>
              </w:rPr>
              <w:lastRenderedPageBreak/>
              <w:t>permanent establishment</w:t>
            </w:r>
          </w:p>
          <w:p w:rsidR="008D0E33" w:rsidRPr="00592989" w:rsidRDefault="008D0E33" w:rsidP="00FB4AD4">
            <w:pPr>
              <w:keepNext/>
              <w:numPr>
                <w:ilvl w:val="1"/>
                <w:numId w:val="6"/>
              </w:numPr>
              <w:rPr>
                <w:color w:val="000000"/>
                <w:sz w:val="22"/>
                <w:szCs w:val="22"/>
              </w:rPr>
            </w:pPr>
            <w:r w:rsidRPr="00592989">
              <w:rPr>
                <w:color w:val="000000"/>
                <w:sz w:val="22"/>
                <w:szCs w:val="22"/>
              </w:rPr>
              <w:t>Preparatory or auxiliary exceptions</w:t>
            </w:r>
          </w:p>
          <w:p w:rsidR="008D0E33" w:rsidRDefault="008D0E33" w:rsidP="00FB4AD4">
            <w:pPr>
              <w:keepNext/>
              <w:numPr>
                <w:ilvl w:val="1"/>
                <w:numId w:val="6"/>
              </w:numPr>
              <w:rPr>
                <w:color w:val="000000"/>
                <w:sz w:val="22"/>
                <w:szCs w:val="22"/>
              </w:rPr>
            </w:pPr>
            <w:r w:rsidRPr="00592989">
              <w:rPr>
                <w:color w:val="000000"/>
                <w:sz w:val="22"/>
                <w:szCs w:val="22"/>
              </w:rPr>
              <w:t>Agency PE</w:t>
            </w:r>
          </w:p>
          <w:p w:rsidR="008D0E33" w:rsidRPr="00592989" w:rsidRDefault="00192133" w:rsidP="00192133">
            <w:pPr>
              <w:keepNext/>
              <w:numPr>
                <w:ilvl w:val="1"/>
                <w:numId w:val="6"/>
              </w:numPr>
              <w:rPr>
                <w:sz w:val="22"/>
                <w:szCs w:val="22"/>
              </w:rPr>
            </w:pPr>
            <w:r>
              <w:rPr>
                <w:color w:val="000000"/>
                <w:sz w:val="22"/>
                <w:szCs w:val="22"/>
              </w:rPr>
              <w:t xml:space="preserve">What must be done to qualify for treaty benefits and how this is certified to a payor of treaty eligible </w:t>
            </w:r>
            <w:proofErr w:type="gramStart"/>
            <w:r>
              <w:rPr>
                <w:color w:val="000000"/>
                <w:sz w:val="22"/>
                <w:szCs w:val="22"/>
              </w:rPr>
              <w:t>income.</w:t>
            </w:r>
            <w:proofErr w:type="gramEnd"/>
          </w:p>
        </w:tc>
        <w:tc>
          <w:tcPr>
            <w:tcW w:w="5490" w:type="dxa"/>
          </w:tcPr>
          <w:p w:rsidR="00A17E16" w:rsidRDefault="008D0E33" w:rsidP="00CB13A9">
            <w:pPr>
              <w:pStyle w:val="Tabletext"/>
              <w:spacing w:before="0" w:after="120"/>
              <w:rPr>
                <w:sz w:val="22"/>
                <w:szCs w:val="22"/>
              </w:rPr>
            </w:pPr>
            <w:r>
              <w:rPr>
                <w:sz w:val="22"/>
                <w:szCs w:val="22"/>
              </w:rPr>
              <w:lastRenderedPageBreak/>
              <w:t xml:space="preserve">NUTSHELL, Chapter 4, </w:t>
            </w:r>
            <w:r w:rsidR="00A17E16">
              <w:rPr>
                <w:sz w:val="22"/>
                <w:szCs w:val="22"/>
              </w:rPr>
              <w:t xml:space="preserve">Parts </w:t>
            </w:r>
            <w:r>
              <w:rPr>
                <w:sz w:val="22"/>
                <w:szCs w:val="22"/>
              </w:rPr>
              <w:t>4.01-4.0</w:t>
            </w:r>
            <w:r w:rsidR="00A17E16">
              <w:rPr>
                <w:sz w:val="22"/>
                <w:szCs w:val="22"/>
              </w:rPr>
              <w:t>4 (ECI and Withholding Tax) and Part 4.06 (FIRPTA)</w:t>
            </w:r>
          </w:p>
          <w:p w:rsidR="00A17E16" w:rsidRDefault="00A17E16" w:rsidP="00CB13A9">
            <w:pPr>
              <w:pStyle w:val="Tabletext"/>
              <w:spacing w:before="0" w:after="120"/>
              <w:rPr>
                <w:sz w:val="22"/>
                <w:szCs w:val="22"/>
              </w:rPr>
            </w:pPr>
            <w:r>
              <w:rPr>
                <w:sz w:val="22"/>
                <w:szCs w:val="22"/>
              </w:rPr>
              <w:t>NUTSHELL, Chapter 5 (Tax Treaties)</w:t>
            </w:r>
          </w:p>
          <w:p w:rsidR="008D0E33" w:rsidRDefault="00A17E16" w:rsidP="00CB13A9">
            <w:pPr>
              <w:pStyle w:val="Tabletext"/>
              <w:spacing w:before="0" w:after="120"/>
              <w:rPr>
                <w:sz w:val="22"/>
                <w:szCs w:val="22"/>
              </w:rPr>
            </w:pPr>
            <w:r>
              <w:rPr>
                <w:sz w:val="22"/>
                <w:szCs w:val="22"/>
              </w:rPr>
              <w:t>NUTSHELL, Chapter 6, Parts 6.01, 6.04</w:t>
            </w:r>
            <w:r w:rsidR="008D0E33">
              <w:rPr>
                <w:sz w:val="22"/>
                <w:szCs w:val="22"/>
              </w:rPr>
              <w:t xml:space="preserve"> </w:t>
            </w:r>
            <w:r>
              <w:rPr>
                <w:sz w:val="22"/>
                <w:szCs w:val="22"/>
              </w:rPr>
              <w:t xml:space="preserve">and 6.05 (Filing Requirements and Withholding) </w:t>
            </w:r>
          </w:p>
          <w:p w:rsidR="008D0E33" w:rsidRDefault="008D0E33" w:rsidP="004D153C">
            <w:r>
              <w:t>BNA Foundations, Chapter V, Parts C (Taxation of Business Profits) and E (Interest, Dividends, Royalties and Gains) only</w:t>
            </w:r>
          </w:p>
          <w:p w:rsidR="00DC39EF" w:rsidRPr="004D153C" w:rsidRDefault="00DC39EF" w:rsidP="004D153C"/>
        </w:tc>
        <w:tc>
          <w:tcPr>
            <w:tcW w:w="3150" w:type="dxa"/>
          </w:tcPr>
          <w:p w:rsidR="008D0E33" w:rsidRPr="00A17E16" w:rsidRDefault="005054C1" w:rsidP="00CB13A9">
            <w:pPr>
              <w:pStyle w:val="Tabletext"/>
              <w:spacing w:before="0" w:after="120"/>
              <w:rPr>
                <w:sz w:val="22"/>
                <w:szCs w:val="22"/>
                <w:u w:val="single"/>
              </w:rPr>
            </w:pPr>
            <w:r w:rsidRPr="00A17E16">
              <w:rPr>
                <w:sz w:val="22"/>
                <w:szCs w:val="22"/>
                <w:u w:val="single"/>
              </w:rPr>
              <w:t>Preparation Assignment No. 8</w:t>
            </w:r>
          </w:p>
          <w:p w:rsidR="005054C1" w:rsidRDefault="005054C1" w:rsidP="005054C1"/>
          <w:p w:rsidR="005054C1" w:rsidRDefault="005054C1" w:rsidP="005054C1"/>
          <w:p w:rsidR="005054C1" w:rsidRPr="005054C1" w:rsidRDefault="005054C1" w:rsidP="0054239D">
            <w:pPr>
              <w:rPr>
                <w:b/>
              </w:rPr>
            </w:pPr>
            <w:r w:rsidRPr="005054C1">
              <w:rPr>
                <w:b/>
              </w:rPr>
              <w:t xml:space="preserve">Graded homework No.3 </w:t>
            </w:r>
            <w:r w:rsidR="00F27307">
              <w:rPr>
                <w:b/>
              </w:rPr>
              <w:t xml:space="preserve">(Foreign Taxpayers and Transfer Pricing) </w:t>
            </w:r>
            <w:r w:rsidRPr="005054C1">
              <w:rPr>
                <w:b/>
              </w:rPr>
              <w:t xml:space="preserve">is due by </w:t>
            </w:r>
            <w:r w:rsidR="0054239D">
              <w:rPr>
                <w:b/>
              </w:rPr>
              <w:t>Thursday</w:t>
            </w:r>
            <w:r w:rsidR="00A17E16">
              <w:rPr>
                <w:b/>
              </w:rPr>
              <w:t>,</w:t>
            </w:r>
            <w:r w:rsidRPr="005054C1">
              <w:rPr>
                <w:b/>
              </w:rPr>
              <w:t xml:space="preserve"> May 2</w:t>
            </w:r>
            <w:r w:rsidR="0054239D">
              <w:rPr>
                <w:b/>
              </w:rPr>
              <w:t>7</w:t>
            </w:r>
            <w:r w:rsidR="00F27307">
              <w:rPr>
                <w:b/>
              </w:rPr>
              <w:t xml:space="preserve"> </w:t>
            </w:r>
          </w:p>
        </w:tc>
      </w:tr>
      <w:tr w:rsidR="008D0E33" w:rsidRPr="00592989" w:rsidTr="00476953">
        <w:trPr>
          <w:trHeight w:val="800"/>
        </w:trPr>
        <w:tc>
          <w:tcPr>
            <w:tcW w:w="344" w:type="dxa"/>
          </w:tcPr>
          <w:p w:rsidR="008D0E33" w:rsidRPr="00592989" w:rsidRDefault="008D0E33" w:rsidP="00BA76F8">
            <w:pPr>
              <w:pStyle w:val="Tabletext"/>
              <w:keepNext/>
              <w:rPr>
                <w:b/>
                <w:sz w:val="22"/>
                <w:szCs w:val="22"/>
              </w:rPr>
            </w:pPr>
            <w:r w:rsidRPr="00592989">
              <w:rPr>
                <w:b/>
                <w:sz w:val="22"/>
                <w:szCs w:val="22"/>
              </w:rPr>
              <w:lastRenderedPageBreak/>
              <w:t>9</w:t>
            </w:r>
          </w:p>
          <w:p w:rsidR="008D0E33" w:rsidRPr="00592989" w:rsidRDefault="008D0E33" w:rsidP="00BA76F8">
            <w:pPr>
              <w:keepNext/>
              <w:rPr>
                <w:sz w:val="22"/>
                <w:szCs w:val="22"/>
              </w:rPr>
            </w:pPr>
          </w:p>
        </w:tc>
        <w:tc>
          <w:tcPr>
            <w:tcW w:w="990" w:type="dxa"/>
          </w:tcPr>
          <w:p w:rsidR="008D0E33" w:rsidRPr="00592989" w:rsidRDefault="008D0E33" w:rsidP="00BA76F8">
            <w:pPr>
              <w:pStyle w:val="Tabletext"/>
              <w:keepNext/>
              <w:jc w:val="center"/>
              <w:rPr>
                <w:sz w:val="22"/>
                <w:szCs w:val="22"/>
              </w:rPr>
            </w:pPr>
            <w:r w:rsidRPr="00592989">
              <w:rPr>
                <w:sz w:val="22"/>
                <w:szCs w:val="22"/>
              </w:rPr>
              <w:t>Tuesday May 31</w:t>
            </w:r>
          </w:p>
        </w:tc>
        <w:tc>
          <w:tcPr>
            <w:tcW w:w="5130" w:type="dxa"/>
            <w:gridSpan w:val="2"/>
          </w:tcPr>
          <w:p w:rsidR="008D0E33" w:rsidRPr="00592989" w:rsidRDefault="008D0E33" w:rsidP="00F05915">
            <w:pPr>
              <w:pStyle w:val="Tabletext"/>
              <w:rPr>
                <w:sz w:val="22"/>
                <w:szCs w:val="22"/>
              </w:rPr>
            </w:pPr>
            <w:r w:rsidRPr="00592989">
              <w:rPr>
                <w:sz w:val="22"/>
                <w:szCs w:val="22"/>
                <w:u w:val="single"/>
              </w:rPr>
              <w:t>Student presentations – Please choose one of the following cases:</w:t>
            </w:r>
          </w:p>
          <w:p w:rsidR="008D0E33" w:rsidRPr="00592989" w:rsidRDefault="008D0E33" w:rsidP="00BF292E">
            <w:pPr>
              <w:pStyle w:val="Tabletext"/>
              <w:numPr>
                <w:ilvl w:val="0"/>
                <w:numId w:val="7"/>
              </w:numPr>
              <w:rPr>
                <w:sz w:val="22"/>
                <w:szCs w:val="22"/>
              </w:rPr>
            </w:pPr>
            <w:r w:rsidRPr="00592989">
              <w:rPr>
                <w:i/>
                <w:sz w:val="22"/>
                <w:szCs w:val="22"/>
              </w:rPr>
              <w:t>Liggett Group</w:t>
            </w:r>
            <w:r w:rsidRPr="00592989">
              <w:rPr>
                <w:sz w:val="22"/>
                <w:szCs w:val="22"/>
              </w:rPr>
              <w:t>, 58 TCM 1167</w:t>
            </w:r>
          </w:p>
          <w:p w:rsidR="008D0E33" w:rsidRPr="00592989" w:rsidRDefault="008D0E33" w:rsidP="00BF292E">
            <w:pPr>
              <w:pStyle w:val="Tabletext"/>
              <w:numPr>
                <w:ilvl w:val="0"/>
                <w:numId w:val="7"/>
              </w:numPr>
              <w:rPr>
                <w:sz w:val="22"/>
                <w:szCs w:val="22"/>
              </w:rPr>
            </w:pPr>
            <w:r w:rsidRPr="00592989">
              <w:rPr>
                <w:i/>
                <w:sz w:val="22"/>
                <w:szCs w:val="22"/>
              </w:rPr>
              <w:t>Boulez</w:t>
            </w:r>
            <w:r w:rsidRPr="00592989">
              <w:rPr>
                <w:sz w:val="22"/>
                <w:szCs w:val="22"/>
              </w:rPr>
              <w:t>, 83 T.C. 584</w:t>
            </w:r>
          </w:p>
          <w:p w:rsidR="008D0E33" w:rsidRPr="00592989" w:rsidRDefault="008D0E33" w:rsidP="00BF292E">
            <w:pPr>
              <w:pStyle w:val="Tabletext"/>
              <w:numPr>
                <w:ilvl w:val="0"/>
                <w:numId w:val="7"/>
              </w:numPr>
              <w:rPr>
                <w:sz w:val="22"/>
                <w:szCs w:val="22"/>
              </w:rPr>
            </w:pPr>
            <w:r w:rsidRPr="00592989">
              <w:rPr>
                <w:i/>
                <w:sz w:val="22"/>
                <w:szCs w:val="22"/>
              </w:rPr>
              <w:t>Dave Fischbein Manufacturing Co.</w:t>
            </w:r>
            <w:r w:rsidRPr="00592989">
              <w:rPr>
                <w:sz w:val="22"/>
                <w:szCs w:val="22"/>
              </w:rPr>
              <w:t>, 59 T.C. 338</w:t>
            </w:r>
          </w:p>
          <w:p w:rsidR="008D0E33" w:rsidRPr="00592989" w:rsidRDefault="008D0E33" w:rsidP="00BF292E">
            <w:pPr>
              <w:pStyle w:val="Tabletext"/>
              <w:numPr>
                <w:ilvl w:val="0"/>
                <w:numId w:val="7"/>
              </w:numPr>
              <w:rPr>
                <w:i/>
                <w:sz w:val="22"/>
                <w:szCs w:val="22"/>
              </w:rPr>
            </w:pPr>
            <w:r w:rsidRPr="00592989">
              <w:rPr>
                <w:i/>
                <w:sz w:val="22"/>
                <w:szCs w:val="22"/>
              </w:rPr>
              <w:t>Taisei Fire</w:t>
            </w:r>
            <w:r w:rsidRPr="00592989">
              <w:rPr>
                <w:sz w:val="22"/>
                <w:szCs w:val="22"/>
              </w:rPr>
              <w:t>, 104 T.C. 535</w:t>
            </w:r>
          </w:p>
          <w:p w:rsidR="008D0E33" w:rsidRPr="00592989" w:rsidRDefault="008D0E33" w:rsidP="00BF292E">
            <w:pPr>
              <w:pStyle w:val="Tabletext"/>
              <w:numPr>
                <w:ilvl w:val="0"/>
                <w:numId w:val="7"/>
              </w:numPr>
              <w:rPr>
                <w:i/>
                <w:sz w:val="22"/>
                <w:szCs w:val="22"/>
              </w:rPr>
            </w:pPr>
            <w:r w:rsidRPr="00592989">
              <w:rPr>
                <w:i/>
                <w:sz w:val="22"/>
                <w:szCs w:val="22"/>
              </w:rPr>
              <w:t>Piedras Negras</w:t>
            </w:r>
            <w:r w:rsidRPr="00592989">
              <w:rPr>
                <w:sz w:val="22"/>
                <w:szCs w:val="22"/>
              </w:rPr>
              <w:t>, 43 B.T.A 297 and 127 F.2d 260</w:t>
            </w:r>
          </w:p>
          <w:p w:rsidR="008D0E33" w:rsidRPr="00592989" w:rsidRDefault="008D0E33" w:rsidP="00BF292E">
            <w:pPr>
              <w:pStyle w:val="Tabletext"/>
              <w:numPr>
                <w:ilvl w:val="0"/>
                <w:numId w:val="7"/>
              </w:numPr>
              <w:rPr>
                <w:sz w:val="22"/>
                <w:szCs w:val="22"/>
              </w:rPr>
            </w:pPr>
            <w:r w:rsidRPr="00592989">
              <w:rPr>
                <w:i/>
                <w:sz w:val="22"/>
                <w:szCs w:val="22"/>
              </w:rPr>
              <w:t>Xilinx</w:t>
            </w:r>
            <w:r w:rsidRPr="00592989">
              <w:rPr>
                <w:sz w:val="22"/>
                <w:szCs w:val="22"/>
              </w:rPr>
              <w:t>, 125 T.C. 37 (Aug. 30, 2005), aff’d 2010-1 USTC ¶ 50,302 (9</w:t>
            </w:r>
            <w:r w:rsidRPr="00592989">
              <w:rPr>
                <w:sz w:val="22"/>
                <w:szCs w:val="22"/>
                <w:vertAlign w:val="superscript"/>
              </w:rPr>
              <w:t>th</w:t>
            </w:r>
            <w:r w:rsidRPr="00592989">
              <w:rPr>
                <w:sz w:val="22"/>
                <w:szCs w:val="22"/>
              </w:rPr>
              <w:t xml:space="preserve"> Cir. 2010)</w:t>
            </w:r>
          </w:p>
          <w:p w:rsidR="008D0E33" w:rsidRPr="00592989" w:rsidRDefault="008D0E33" w:rsidP="00BF292E">
            <w:pPr>
              <w:pStyle w:val="Tabletext"/>
              <w:numPr>
                <w:ilvl w:val="0"/>
                <w:numId w:val="7"/>
              </w:numPr>
              <w:rPr>
                <w:sz w:val="22"/>
                <w:szCs w:val="22"/>
              </w:rPr>
            </w:pPr>
            <w:r w:rsidRPr="00592989">
              <w:rPr>
                <w:i/>
                <w:sz w:val="22"/>
                <w:szCs w:val="22"/>
              </w:rPr>
              <w:t>Altera</w:t>
            </w:r>
            <w:r w:rsidRPr="00592989">
              <w:rPr>
                <w:sz w:val="22"/>
                <w:szCs w:val="22"/>
              </w:rPr>
              <w:t>, 145 T.C. 3 (July 2015)</w:t>
            </w:r>
          </w:p>
          <w:p w:rsidR="008D0E33" w:rsidRPr="00592989" w:rsidRDefault="008D0E33" w:rsidP="00BF292E">
            <w:pPr>
              <w:numPr>
                <w:ilvl w:val="0"/>
                <w:numId w:val="7"/>
              </w:numPr>
              <w:rPr>
                <w:sz w:val="22"/>
                <w:szCs w:val="22"/>
              </w:rPr>
            </w:pPr>
            <w:r w:rsidRPr="00592989">
              <w:rPr>
                <w:i/>
                <w:sz w:val="22"/>
                <w:szCs w:val="22"/>
              </w:rPr>
              <w:t xml:space="preserve">SDI Netherlands, B.V. v. Commissioner, </w:t>
            </w:r>
            <w:r w:rsidRPr="00592989">
              <w:rPr>
                <w:sz w:val="22"/>
                <w:szCs w:val="22"/>
              </w:rPr>
              <w:t>107 T.C. 161 (1996)</w:t>
            </w:r>
          </w:p>
          <w:p w:rsidR="008D0E33" w:rsidRPr="00592989" w:rsidRDefault="008D0E33" w:rsidP="00F05915">
            <w:pPr>
              <w:pStyle w:val="Tabletext"/>
              <w:rPr>
                <w:sz w:val="22"/>
                <w:szCs w:val="22"/>
              </w:rPr>
            </w:pPr>
          </w:p>
          <w:p w:rsidR="008D0E33" w:rsidRPr="00592989" w:rsidRDefault="008D0E33" w:rsidP="002B3167">
            <w:pPr>
              <w:pStyle w:val="Tabletext"/>
              <w:rPr>
                <w:sz w:val="22"/>
                <w:szCs w:val="22"/>
              </w:rPr>
            </w:pPr>
            <w:r w:rsidRPr="00592989">
              <w:rPr>
                <w:sz w:val="22"/>
                <w:szCs w:val="22"/>
                <w:u w:val="single"/>
              </w:rPr>
              <w:t>Course review and questions for the final exam</w:t>
            </w:r>
          </w:p>
          <w:p w:rsidR="008D0E33" w:rsidRPr="00592989" w:rsidRDefault="008D0E33" w:rsidP="00F05915">
            <w:pPr>
              <w:rPr>
                <w:sz w:val="22"/>
                <w:szCs w:val="22"/>
              </w:rPr>
            </w:pPr>
          </w:p>
        </w:tc>
        <w:tc>
          <w:tcPr>
            <w:tcW w:w="5490" w:type="dxa"/>
          </w:tcPr>
          <w:p w:rsidR="008D0E33" w:rsidRPr="00592989" w:rsidRDefault="008D0E33" w:rsidP="00F05915">
            <w:pPr>
              <w:rPr>
                <w:sz w:val="22"/>
                <w:szCs w:val="22"/>
              </w:rPr>
            </w:pPr>
            <w:r w:rsidRPr="00592989">
              <w:rPr>
                <w:sz w:val="22"/>
                <w:szCs w:val="22"/>
              </w:rPr>
              <w:t xml:space="preserve">None – please focus on preparing your group presentation and bring any questions you may have for </w:t>
            </w:r>
            <w:r>
              <w:rPr>
                <w:sz w:val="22"/>
                <w:szCs w:val="22"/>
              </w:rPr>
              <w:t xml:space="preserve">review for </w:t>
            </w:r>
            <w:r w:rsidRPr="00592989">
              <w:rPr>
                <w:sz w:val="22"/>
                <w:szCs w:val="22"/>
              </w:rPr>
              <w:t>the final exam.</w:t>
            </w:r>
          </w:p>
          <w:p w:rsidR="008D0E33" w:rsidRPr="00592989" w:rsidRDefault="008D0E33" w:rsidP="00F05915">
            <w:pPr>
              <w:rPr>
                <w:sz w:val="22"/>
                <w:szCs w:val="22"/>
              </w:rPr>
            </w:pPr>
          </w:p>
        </w:tc>
        <w:tc>
          <w:tcPr>
            <w:tcW w:w="3150" w:type="dxa"/>
          </w:tcPr>
          <w:p w:rsidR="008D0E33" w:rsidRDefault="003A3C6C" w:rsidP="00F05915">
            <w:pPr>
              <w:pStyle w:val="Tabletext"/>
              <w:rPr>
                <w:sz w:val="22"/>
                <w:szCs w:val="22"/>
              </w:rPr>
            </w:pPr>
            <w:r>
              <w:rPr>
                <w:sz w:val="22"/>
                <w:szCs w:val="22"/>
              </w:rPr>
              <w:t>No preparation assignment.</w:t>
            </w:r>
          </w:p>
          <w:p w:rsidR="003A3C6C" w:rsidRDefault="003A3C6C" w:rsidP="003A3C6C"/>
          <w:p w:rsidR="003A3C6C" w:rsidRPr="003A3C6C" w:rsidRDefault="0054239D" w:rsidP="0054239D">
            <w:r w:rsidRPr="0054239D">
              <w:rPr>
                <w:b/>
              </w:rPr>
              <w:t>Group presentation and accompanying p</w:t>
            </w:r>
            <w:r w:rsidR="003A3C6C" w:rsidRPr="0054239D">
              <w:rPr>
                <w:b/>
              </w:rPr>
              <w:t xml:space="preserve">owerpoint </w:t>
            </w:r>
            <w:r w:rsidRPr="0054239D">
              <w:rPr>
                <w:b/>
              </w:rPr>
              <w:t>slides are due today</w:t>
            </w:r>
            <w:r w:rsidR="003A3C6C">
              <w:t>.</w:t>
            </w:r>
          </w:p>
        </w:tc>
      </w:tr>
      <w:tr w:rsidR="008D0E33" w:rsidRPr="00592989" w:rsidTr="00476953">
        <w:tc>
          <w:tcPr>
            <w:tcW w:w="344" w:type="dxa"/>
          </w:tcPr>
          <w:p w:rsidR="008D0E33" w:rsidRPr="00592989" w:rsidRDefault="008D0E33" w:rsidP="0054239D">
            <w:pPr>
              <w:pStyle w:val="Tabletext"/>
              <w:keepNext/>
              <w:rPr>
                <w:sz w:val="22"/>
                <w:szCs w:val="22"/>
              </w:rPr>
            </w:pPr>
          </w:p>
        </w:tc>
        <w:tc>
          <w:tcPr>
            <w:tcW w:w="990" w:type="dxa"/>
          </w:tcPr>
          <w:p w:rsidR="008D0E33" w:rsidRPr="00592989" w:rsidRDefault="008D0E33" w:rsidP="00BD486E">
            <w:pPr>
              <w:pStyle w:val="Tabletext"/>
              <w:keepNext/>
              <w:jc w:val="center"/>
              <w:rPr>
                <w:sz w:val="22"/>
                <w:szCs w:val="22"/>
              </w:rPr>
            </w:pPr>
            <w:r w:rsidRPr="00592989">
              <w:rPr>
                <w:sz w:val="22"/>
                <w:szCs w:val="22"/>
              </w:rPr>
              <w:t>Tuesday June 7</w:t>
            </w:r>
          </w:p>
        </w:tc>
        <w:tc>
          <w:tcPr>
            <w:tcW w:w="5130" w:type="dxa"/>
            <w:gridSpan w:val="2"/>
          </w:tcPr>
          <w:p w:rsidR="008D0E33" w:rsidRPr="00592989" w:rsidRDefault="008D0E33" w:rsidP="00D846A7">
            <w:pPr>
              <w:keepNext/>
              <w:rPr>
                <w:color w:val="000000"/>
                <w:sz w:val="22"/>
                <w:szCs w:val="22"/>
              </w:rPr>
            </w:pPr>
            <w:r w:rsidRPr="00592989">
              <w:rPr>
                <w:color w:val="000000"/>
                <w:sz w:val="22"/>
                <w:szCs w:val="22"/>
              </w:rPr>
              <w:t>In-Class Final Exam</w:t>
            </w:r>
          </w:p>
        </w:tc>
        <w:tc>
          <w:tcPr>
            <w:tcW w:w="5490" w:type="dxa"/>
          </w:tcPr>
          <w:p w:rsidR="008D0E33" w:rsidRPr="00592989" w:rsidRDefault="008D0E33" w:rsidP="00F37E69">
            <w:pPr>
              <w:keepNext/>
              <w:rPr>
                <w:sz w:val="22"/>
                <w:szCs w:val="22"/>
              </w:rPr>
            </w:pPr>
          </w:p>
        </w:tc>
        <w:tc>
          <w:tcPr>
            <w:tcW w:w="3150" w:type="dxa"/>
          </w:tcPr>
          <w:p w:rsidR="008D0E33" w:rsidRPr="00592989" w:rsidRDefault="008D0E33" w:rsidP="00CB13A9">
            <w:pPr>
              <w:pStyle w:val="Tabletext"/>
              <w:spacing w:before="0" w:after="120"/>
              <w:rPr>
                <w:sz w:val="22"/>
                <w:szCs w:val="22"/>
              </w:rPr>
            </w:pPr>
          </w:p>
        </w:tc>
      </w:tr>
    </w:tbl>
    <w:p w:rsidR="001E30E5" w:rsidRPr="00592989" w:rsidRDefault="001E30E5" w:rsidP="00D1673F">
      <w:pPr>
        <w:rPr>
          <w:sz w:val="22"/>
          <w:szCs w:val="22"/>
        </w:rPr>
      </w:pPr>
    </w:p>
    <w:sectPr w:rsidR="001E30E5" w:rsidRPr="00592989" w:rsidSect="00076A89">
      <w:footerReference w:type="default" r:id="rId18"/>
      <w:pgSz w:w="15840" w:h="12240" w:orient="landscape" w:code="1"/>
      <w:pgMar w:top="720" w:right="1440" w:bottom="432" w:left="1008" w:header="432"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6564" w:rsidRDefault="00AC6564">
      <w:r>
        <w:separator/>
      </w:r>
    </w:p>
  </w:endnote>
  <w:endnote w:type="continuationSeparator" w:id="0">
    <w:p w:rsidR="00AC6564" w:rsidRDefault="00AC656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ヒラギノ角ゴ Pro W3">
    <w:panose1 w:val="00000000000000000000"/>
    <w:charset w:val="80"/>
    <w:family w:val="auto"/>
    <w:notTrueType/>
    <w:pitch w:val="variable"/>
    <w:sig w:usb0="00000001" w:usb1="08070000" w:usb2="00000010" w:usb3="00000000" w:csb0="00020000" w:csb1="00000000"/>
  </w:font>
  <w:font w:name="AbsaraSansOT-Light">
    <w:panose1 w:val="00000000000000000000"/>
    <w:charset w:val="00"/>
    <w:family w:val="modern"/>
    <w:notTrueType/>
    <w:pitch w:val="variable"/>
    <w:sig w:usb0="800000AF" w:usb1="4000205B"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2E04" w:rsidRDefault="00332E04" w:rsidP="00503E2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32E04" w:rsidRDefault="00332E04" w:rsidP="00503E2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F7D" w:rsidRDefault="00A03F7D">
    <w:pPr>
      <w:pStyle w:val="Footer"/>
      <w:jc w:val="center"/>
    </w:pPr>
    <w:fldSimple w:instr=" PAGE   \* MERGEFORMAT ">
      <w:r w:rsidR="00D7487E">
        <w:rPr>
          <w:noProof/>
        </w:rPr>
        <w:t>1</w:t>
      </w:r>
    </w:fldSimple>
  </w:p>
  <w:p w:rsidR="005441EC" w:rsidRDefault="00332E04">
    <w: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24A" w:rsidRDefault="0072224A">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62D" w:rsidRPr="00BA76F8" w:rsidRDefault="00A03F7D" w:rsidP="00BA76F8">
    <w:pPr>
      <w:pStyle w:val="Footer"/>
      <w:jc w:val="center"/>
      <w:rPr>
        <w:lang w:val="en-US"/>
      </w:rPr>
    </w:pPr>
    <w:fldSimple w:instr=" PAGE   \* MERGEFORMAT ">
      <w:r w:rsidR="00D7487E">
        <w:rPr>
          <w:noProof/>
        </w:rPr>
        <w:t>12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6564" w:rsidRDefault="00AC6564">
      <w:r>
        <w:separator/>
      </w:r>
    </w:p>
  </w:footnote>
  <w:footnote w:type="continuationSeparator" w:id="0">
    <w:p w:rsidR="00AC6564" w:rsidRDefault="00AC65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24A" w:rsidRDefault="0072224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24A" w:rsidRDefault="0072224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224A" w:rsidRDefault="0072224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A0DBB"/>
    <w:multiLevelType w:val="hybridMultilevel"/>
    <w:tmpl w:val="081EC948"/>
    <w:lvl w:ilvl="0" w:tplc="134806F4">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3465F3"/>
    <w:multiLevelType w:val="hybridMultilevel"/>
    <w:tmpl w:val="D35E63D8"/>
    <w:lvl w:ilvl="0" w:tplc="6FD23D5C">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2">
    <w:nsid w:val="05386341"/>
    <w:multiLevelType w:val="hybridMultilevel"/>
    <w:tmpl w:val="F2D6B862"/>
    <w:lvl w:ilvl="0" w:tplc="6FD23D5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106761D2"/>
    <w:multiLevelType w:val="hybridMultilevel"/>
    <w:tmpl w:val="E6D87F7C"/>
    <w:lvl w:ilvl="0" w:tplc="6FD23D5C">
      <w:start w:val="1"/>
      <w:numFmt w:val="bullet"/>
      <w:lvlText w:val=""/>
      <w:lvlJc w:val="left"/>
      <w:pPr>
        <w:ind w:left="784" w:hanging="360"/>
      </w:pPr>
      <w:rPr>
        <w:rFonts w:ascii="Symbol" w:hAnsi="Symbol" w:hint="default"/>
      </w:rPr>
    </w:lvl>
    <w:lvl w:ilvl="1" w:tplc="04090003">
      <w:start w:val="1"/>
      <w:numFmt w:val="bullet"/>
      <w:lvlText w:val="o"/>
      <w:lvlJc w:val="left"/>
      <w:pPr>
        <w:ind w:left="1504"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1EFF671E"/>
    <w:multiLevelType w:val="hybridMultilevel"/>
    <w:tmpl w:val="4FB2C64A"/>
    <w:lvl w:ilvl="0" w:tplc="6FD23D5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305B5D6A"/>
    <w:multiLevelType w:val="multilevel"/>
    <w:tmpl w:val="04E8B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4AD1501"/>
    <w:multiLevelType w:val="hybridMultilevel"/>
    <w:tmpl w:val="E940C094"/>
    <w:lvl w:ilvl="0" w:tplc="EA2E8A46">
      <w:start w:val="1"/>
      <w:numFmt w:val="bullet"/>
      <w:lvlRestart w:val="0"/>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7475218"/>
    <w:multiLevelType w:val="hybridMultilevel"/>
    <w:tmpl w:val="4B56ABDE"/>
    <w:lvl w:ilvl="0" w:tplc="04090005">
      <w:start w:val="1"/>
      <w:numFmt w:val="bullet"/>
      <w:lvlText w:val=""/>
      <w:lvlJc w:val="left"/>
      <w:pPr>
        <w:tabs>
          <w:tab w:val="num" w:pos="720"/>
        </w:tabs>
        <w:ind w:left="720" w:hanging="360"/>
      </w:pPr>
      <w:rPr>
        <w:rFonts w:ascii="Wingdings" w:hAnsi="Wingdings" w:hint="default"/>
      </w:rPr>
    </w:lvl>
    <w:lvl w:ilvl="1" w:tplc="F1749A08">
      <w:start w:val="89"/>
      <w:numFmt w:val="bullet"/>
      <w:lvlText w:val=""/>
      <w:lvlJc w:val="left"/>
      <w:pPr>
        <w:tabs>
          <w:tab w:val="num" w:pos="1440"/>
        </w:tabs>
        <w:ind w:left="1440" w:hanging="360"/>
      </w:pPr>
      <w:rPr>
        <w:rFonts w:ascii="Wingdings" w:hAnsi="Wingdings" w:hint="default"/>
      </w:rPr>
    </w:lvl>
    <w:lvl w:ilvl="2" w:tplc="95C060F2" w:tentative="1">
      <w:start w:val="1"/>
      <w:numFmt w:val="bullet"/>
      <w:lvlText w:val=""/>
      <w:lvlJc w:val="left"/>
      <w:pPr>
        <w:tabs>
          <w:tab w:val="num" w:pos="2160"/>
        </w:tabs>
        <w:ind w:left="2160" w:hanging="360"/>
      </w:pPr>
      <w:rPr>
        <w:rFonts w:ascii="Wingdings" w:hAnsi="Wingdings" w:hint="default"/>
      </w:rPr>
    </w:lvl>
    <w:lvl w:ilvl="3" w:tplc="BF72091C" w:tentative="1">
      <w:start w:val="1"/>
      <w:numFmt w:val="bullet"/>
      <w:lvlText w:val=""/>
      <w:lvlJc w:val="left"/>
      <w:pPr>
        <w:tabs>
          <w:tab w:val="num" w:pos="2880"/>
        </w:tabs>
        <w:ind w:left="2880" w:hanging="360"/>
      </w:pPr>
      <w:rPr>
        <w:rFonts w:ascii="Wingdings" w:hAnsi="Wingdings" w:hint="default"/>
      </w:rPr>
    </w:lvl>
    <w:lvl w:ilvl="4" w:tplc="E5185378" w:tentative="1">
      <w:start w:val="1"/>
      <w:numFmt w:val="bullet"/>
      <w:lvlText w:val=""/>
      <w:lvlJc w:val="left"/>
      <w:pPr>
        <w:tabs>
          <w:tab w:val="num" w:pos="3600"/>
        </w:tabs>
        <w:ind w:left="3600" w:hanging="360"/>
      </w:pPr>
      <w:rPr>
        <w:rFonts w:ascii="Wingdings" w:hAnsi="Wingdings" w:hint="default"/>
      </w:rPr>
    </w:lvl>
    <w:lvl w:ilvl="5" w:tplc="A4FE1700" w:tentative="1">
      <w:start w:val="1"/>
      <w:numFmt w:val="bullet"/>
      <w:lvlText w:val=""/>
      <w:lvlJc w:val="left"/>
      <w:pPr>
        <w:tabs>
          <w:tab w:val="num" w:pos="4320"/>
        </w:tabs>
        <w:ind w:left="4320" w:hanging="360"/>
      </w:pPr>
      <w:rPr>
        <w:rFonts w:ascii="Wingdings" w:hAnsi="Wingdings" w:hint="default"/>
      </w:rPr>
    </w:lvl>
    <w:lvl w:ilvl="6" w:tplc="9ED0242A" w:tentative="1">
      <w:start w:val="1"/>
      <w:numFmt w:val="bullet"/>
      <w:lvlText w:val=""/>
      <w:lvlJc w:val="left"/>
      <w:pPr>
        <w:tabs>
          <w:tab w:val="num" w:pos="5040"/>
        </w:tabs>
        <w:ind w:left="5040" w:hanging="360"/>
      </w:pPr>
      <w:rPr>
        <w:rFonts w:ascii="Wingdings" w:hAnsi="Wingdings" w:hint="default"/>
      </w:rPr>
    </w:lvl>
    <w:lvl w:ilvl="7" w:tplc="A1A6DA80" w:tentative="1">
      <w:start w:val="1"/>
      <w:numFmt w:val="bullet"/>
      <w:lvlText w:val=""/>
      <w:lvlJc w:val="left"/>
      <w:pPr>
        <w:tabs>
          <w:tab w:val="num" w:pos="5760"/>
        </w:tabs>
        <w:ind w:left="5760" w:hanging="360"/>
      </w:pPr>
      <w:rPr>
        <w:rFonts w:ascii="Wingdings" w:hAnsi="Wingdings" w:hint="default"/>
      </w:rPr>
    </w:lvl>
    <w:lvl w:ilvl="8" w:tplc="0B6EDB6E" w:tentative="1">
      <w:start w:val="1"/>
      <w:numFmt w:val="bullet"/>
      <w:lvlText w:val=""/>
      <w:lvlJc w:val="left"/>
      <w:pPr>
        <w:tabs>
          <w:tab w:val="num" w:pos="6480"/>
        </w:tabs>
        <w:ind w:left="6480" w:hanging="360"/>
      </w:pPr>
      <w:rPr>
        <w:rFonts w:ascii="Wingdings" w:hAnsi="Wingdings" w:hint="default"/>
      </w:rPr>
    </w:lvl>
  </w:abstractNum>
  <w:abstractNum w:abstractNumId="9">
    <w:nsid w:val="38100F74"/>
    <w:multiLevelType w:val="hybridMultilevel"/>
    <w:tmpl w:val="0D26CA88"/>
    <w:lvl w:ilvl="0" w:tplc="A8F425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758510C"/>
    <w:multiLevelType w:val="hybridMultilevel"/>
    <w:tmpl w:val="1354C316"/>
    <w:lvl w:ilvl="0" w:tplc="6FD23D5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4C9F45F8"/>
    <w:multiLevelType w:val="hybridMultilevel"/>
    <w:tmpl w:val="1F4AA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15E6998"/>
    <w:multiLevelType w:val="hybridMultilevel"/>
    <w:tmpl w:val="8CBA39FA"/>
    <w:lvl w:ilvl="0" w:tplc="EA2E8A46">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2D522E3"/>
    <w:multiLevelType w:val="hybridMultilevel"/>
    <w:tmpl w:val="3CE8149E"/>
    <w:lvl w:ilvl="0" w:tplc="6FD23D5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747E5D91"/>
    <w:multiLevelType w:val="hybridMultilevel"/>
    <w:tmpl w:val="811C9AE4"/>
    <w:lvl w:ilvl="0" w:tplc="53B26906">
      <w:start w:val="1"/>
      <w:numFmt w:val="bullet"/>
      <w:lvlRestart w:val="0"/>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6FF7736"/>
    <w:multiLevelType w:val="hybridMultilevel"/>
    <w:tmpl w:val="4FEA181E"/>
    <w:lvl w:ilvl="0" w:tplc="18B0697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AB95938"/>
    <w:multiLevelType w:val="hybridMultilevel"/>
    <w:tmpl w:val="8CD06D7A"/>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6"/>
  </w:num>
  <w:num w:numId="3">
    <w:abstractNumId w:val="9"/>
  </w:num>
  <w:num w:numId="4">
    <w:abstractNumId w:val="8"/>
  </w:num>
  <w:num w:numId="5">
    <w:abstractNumId w:val="11"/>
  </w:num>
  <w:num w:numId="6">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6"/>
  </w:num>
  <w:num w:numId="9">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7"/>
  </w:num>
  <w:num w:numId="16">
    <w:abstractNumId w:val="12"/>
  </w:num>
  <w:num w:numId="17">
    <w:abstractNumId w:val="0"/>
  </w:num>
  <w:num w:numId="1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grammar="clean"/>
  <w:stylePaneFormatFilter w:val="3801"/>
  <w:documentProtection w:edit="readOnly" w:enforcement="0"/>
  <w:defaultTabStop w:val="360"/>
  <w:noPunctuationKerning/>
  <w:characterSpacingControl w:val="doNotCompress"/>
  <w:hdrShapeDefaults>
    <o:shapedefaults v:ext="edit" spidmax="3074"/>
  </w:hdrShapeDefaults>
  <w:footnotePr>
    <w:footnote w:id="-1"/>
    <w:footnote w:id="0"/>
  </w:footnotePr>
  <w:endnotePr>
    <w:endnote w:id="-1"/>
    <w:endnote w:id="0"/>
  </w:endnotePr>
  <w:compat/>
  <w:rsids>
    <w:rsidRoot w:val="008816DE"/>
    <w:rsid w:val="00002E89"/>
    <w:rsid w:val="00036C13"/>
    <w:rsid w:val="00041326"/>
    <w:rsid w:val="00052FF2"/>
    <w:rsid w:val="00055B3B"/>
    <w:rsid w:val="0006023A"/>
    <w:rsid w:val="00076A89"/>
    <w:rsid w:val="00080C75"/>
    <w:rsid w:val="000A0746"/>
    <w:rsid w:val="000B2F17"/>
    <w:rsid w:val="000E1480"/>
    <w:rsid w:val="000E250A"/>
    <w:rsid w:val="000E783E"/>
    <w:rsid w:val="001014F1"/>
    <w:rsid w:val="00101F85"/>
    <w:rsid w:val="00116F5F"/>
    <w:rsid w:val="0012052C"/>
    <w:rsid w:val="0012204D"/>
    <w:rsid w:val="00125E97"/>
    <w:rsid w:val="00135473"/>
    <w:rsid w:val="001429E3"/>
    <w:rsid w:val="001574E2"/>
    <w:rsid w:val="001603A0"/>
    <w:rsid w:val="0017205E"/>
    <w:rsid w:val="001728A4"/>
    <w:rsid w:val="00172A22"/>
    <w:rsid w:val="00185192"/>
    <w:rsid w:val="00187FF4"/>
    <w:rsid w:val="00192133"/>
    <w:rsid w:val="001934C2"/>
    <w:rsid w:val="001B4929"/>
    <w:rsid w:val="001C1D51"/>
    <w:rsid w:val="001C6F2C"/>
    <w:rsid w:val="001D7B50"/>
    <w:rsid w:val="001D7DBF"/>
    <w:rsid w:val="001E30E5"/>
    <w:rsid w:val="001E66FD"/>
    <w:rsid w:val="0022194D"/>
    <w:rsid w:val="00222826"/>
    <w:rsid w:val="002418C4"/>
    <w:rsid w:val="00260107"/>
    <w:rsid w:val="00262E0E"/>
    <w:rsid w:val="002718BE"/>
    <w:rsid w:val="002753D4"/>
    <w:rsid w:val="0029128A"/>
    <w:rsid w:val="002961BE"/>
    <w:rsid w:val="002973AD"/>
    <w:rsid w:val="002A7DE6"/>
    <w:rsid w:val="002B3167"/>
    <w:rsid w:val="002C628B"/>
    <w:rsid w:val="002D28A0"/>
    <w:rsid w:val="002D323C"/>
    <w:rsid w:val="002D5D32"/>
    <w:rsid w:val="002E3999"/>
    <w:rsid w:val="0032474A"/>
    <w:rsid w:val="00332E04"/>
    <w:rsid w:val="00346418"/>
    <w:rsid w:val="0036114C"/>
    <w:rsid w:val="003630C8"/>
    <w:rsid w:val="00371E84"/>
    <w:rsid w:val="00385B8D"/>
    <w:rsid w:val="003A006A"/>
    <w:rsid w:val="003A028D"/>
    <w:rsid w:val="003A3C6C"/>
    <w:rsid w:val="003A4A6F"/>
    <w:rsid w:val="003B6E2E"/>
    <w:rsid w:val="003B7FB6"/>
    <w:rsid w:val="003C5C11"/>
    <w:rsid w:val="003C70F3"/>
    <w:rsid w:val="003E7B53"/>
    <w:rsid w:val="003F3A6D"/>
    <w:rsid w:val="003F5BAD"/>
    <w:rsid w:val="00404B4E"/>
    <w:rsid w:val="00411D86"/>
    <w:rsid w:val="0041263C"/>
    <w:rsid w:val="004200A6"/>
    <w:rsid w:val="004671D2"/>
    <w:rsid w:val="004746C7"/>
    <w:rsid w:val="00476275"/>
    <w:rsid w:val="00476953"/>
    <w:rsid w:val="004A39FA"/>
    <w:rsid w:val="004A4CE5"/>
    <w:rsid w:val="004B3574"/>
    <w:rsid w:val="004B3D16"/>
    <w:rsid w:val="004B661A"/>
    <w:rsid w:val="004B7F3C"/>
    <w:rsid w:val="004C0BD9"/>
    <w:rsid w:val="004D0614"/>
    <w:rsid w:val="004D153C"/>
    <w:rsid w:val="004D4928"/>
    <w:rsid w:val="004E5809"/>
    <w:rsid w:val="00503E2E"/>
    <w:rsid w:val="005054C1"/>
    <w:rsid w:val="005409B9"/>
    <w:rsid w:val="0054239D"/>
    <w:rsid w:val="005424EE"/>
    <w:rsid w:val="005441EC"/>
    <w:rsid w:val="00575E28"/>
    <w:rsid w:val="00583B0C"/>
    <w:rsid w:val="00591D77"/>
    <w:rsid w:val="00592989"/>
    <w:rsid w:val="005B10E0"/>
    <w:rsid w:val="005D3470"/>
    <w:rsid w:val="006028AB"/>
    <w:rsid w:val="00612536"/>
    <w:rsid w:val="006156A3"/>
    <w:rsid w:val="006441CC"/>
    <w:rsid w:val="00656ED0"/>
    <w:rsid w:val="00677433"/>
    <w:rsid w:val="00677880"/>
    <w:rsid w:val="00696BF7"/>
    <w:rsid w:val="006A4FD6"/>
    <w:rsid w:val="006B783B"/>
    <w:rsid w:val="006C7958"/>
    <w:rsid w:val="006D151B"/>
    <w:rsid w:val="006E39A2"/>
    <w:rsid w:val="00705F50"/>
    <w:rsid w:val="00707C30"/>
    <w:rsid w:val="0071342C"/>
    <w:rsid w:val="0072224A"/>
    <w:rsid w:val="0072307B"/>
    <w:rsid w:val="00727B45"/>
    <w:rsid w:val="0073147D"/>
    <w:rsid w:val="00735D4A"/>
    <w:rsid w:val="00741A62"/>
    <w:rsid w:val="00744719"/>
    <w:rsid w:val="0075025A"/>
    <w:rsid w:val="0075160B"/>
    <w:rsid w:val="00757641"/>
    <w:rsid w:val="00762948"/>
    <w:rsid w:val="007767F8"/>
    <w:rsid w:val="007775FF"/>
    <w:rsid w:val="0078749F"/>
    <w:rsid w:val="00787A54"/>
    <w:rsid w:val="007A6C1F"/>
    <w:rsid w:val="007A7BC4"/>
    <w:rsid w:val="007C5C46"/>
    <w:rsid w:val="00803AB6"/>
    <w:rsid w:val="008044F9"/>
    <w:rsid w:val="0081546C"/>
    <w:rsid w:val="00843C02"/>
    <w:rsid w:val="00847A67"/>
    <w:rsid w:val="00872855"/>
    <w:rsid w:val="00887631"/>
    <w:rsid w:val="008A4D80"/>
    <w:rsid w:val="008B2FE0"/>
    <w:rsid w:val="008B64D0"/>
    <w:rsid w:val="008D0E33"/>
    <w:rsid w:val="008D2E42"/>
    <w:rsid w:val="008D50B3"/>
    <w:rsid w:val="008E30C9"/>
    <w:rsid w:val="00904ADE"/>
    <w:rsid w:val="009230DA"/>
    <w:rsid w:val="0092340B"/>
    <w:rsid w:val="0093060D"/>
    <w:rsid w:val="00940974"/>
    <w:rsid w:val="009530EF"/>
    <w:rsid w:val="00987038"/>
    <w:rsid w:val="00987292"/>
    <w:rsid w:val="009916F9"/>
    <w:rsid w:val="0099562D"/>
    <w:rsid w:val="009A5E7D"/>
    <w:rsid w:val="009B4332"/>
    <w:rsid w:val="009C2486"/>
    <w:rsid w:val="009F0E5A"/>
    <w:rsid w:val="009F1D7A"/>
    <w:rsid w:val="00A0190A"/>
    <w:rsid w:val="00A03F7D"/>
    <w:rsid w:val="00A12CB1"/>
    <w:rsid w:val="00A168BF"/>
    <w:rsid w:val="00A17E16"/>
    <w:rsid w:val="00A458E8"/>
    <w:rsid w:val="00A72CD9"/>
    <w:rsid w:val="00A75C7D"/>
    <w:rsid w:val="00AA66A1"/>
    <w:rsid w:val="00AA70DF"/>
    <w:rsid w:val="00AC6564"/>
    <w:rsid w:val="00AD26DC"/>
    <w:rsid w:val="00AF2D2A"/>
    <w:rsid w:val="00AF5E0A"/>
    <w:rsid w:val="00B13A36"/>
    <w:rsid w:val="00B22296"/>
    <w:rsid w:val="00B319EC"/>
    <w:rsid w:val="00B354DA"/>
    <w:rsid w:val="00B355FD"/>
    <w:rsid w:val="00B44AC3"/>
    <w:rsid w:val="00B57962"/>
    <w:rsid w:val="00B929D6"/>
    <w:rsid w:val="00BA3B11"/>
    <w:rsid w:val="00BA76F8"/>
    <w:rsid w:val="00BB6710"/>
    <w:rsid w:val="00BD486E"/>
    <w:rsid w:val="00BF292E"/>
    <w:rsid w:val="00C060B7"/>
    <w:rsid w:val="00C1746A"/>
    <w:rsid w:val="00C238C4"/>
    <w:rsid w:val="00C53A79"/>
    <w:rsid w:val="00C57A6E"/>
    <w:rsid w:val="00C622A1"/>
    <w:rsid w:val="00C666EF"/>
    <w:rsid w:val="00C73EC2"/>
    <w:rsid w:val="00C8556A"/>
    <w:rsid w:val="00C90941"/>
    <w:rsid w:val="00C920FF"/>
    <w:rsid w:val="00CB13A9"/>
    <w:rsid w:val="00CB5A11"/>
    <w:rsid w:val="00CD1466"/>
    <w:rsid w:val="00CF72AC"/>
    <w:rsid w:val="00D04664"/>
    <w:rsid w:val="00D128DD"/>
    <w:rsid w:val="00D1673F"/>
    <w:rsid w:val="00D42A63"/>
    <w:rsid w:val="00D43756"/>
    <w:rsid w:val="00D642D2"/>
    <w:rsid w:val="00D7487E"/>
    <w:rsid w:val="00D846A7"/>
    <w:rsid w:val="00DA05B5"/>
    <w:rsid w:val="00DB6E3E"/>
    <w:rsid w:val="00DC39EF"/>
    <w:rsid w:val="00DC5D53"/>
    <w:rsid w:val="00DD7B0B"/>
    <w:rsid w:val="00DE0548"/>
    <w:rsid w:val="00E0641E"/>
    <w:rsid w:val="00E10A67"/>
    <w:rsid w:val="00E11F70"/>
    <w:rsid w:val="00E21512"/>
    <w:rsid w:val="00E27873"/>
    <w:rsid w:val="00E313B0"/>
    <w:rsid w:val="00E42C9A"/>
    <w:rsid w:val="00E751A8"/>
    <w:rsid w:val="00E753FE"/>
    <w:rsid w:val="00E762E8"/>
    <w:rsid w:val="00E83C4F"/>
    <w:rsid w:val="00E845B9"/>
    <w:rsid w:val="00E91923"/>
    <w:rsid w:val="00E950D0"/>
    <w:rsid w:val="00EE221A"/>
    <w:rsid w:val="00EF3D1B"/>
    <w:rsid w:val="00F05915"/>
    <w:rsid w:val="00F27307"/>
    <w:rsid w:val="00F33718"/>
    <w:rsid w:val="00F37E69"/>
    <w:rsid w:val="00F42746"/>
    <w:rsid w:val="00F45F7D"/>
    <w:rsid w:val="00F54F95"/>
    <w:rsid w:val="00F639FB"/>
    <w:rsid w:val="00F73727"/>
    <w:rsid w:val="00F81F3C"/>
    <w:rsid w:val="00F94FBA"/>
    <w:rsid w:val="00FB2908"/>
    <w:rsid w:val="00FB4884"/>
    <w:rsid w:val="00FB4AD4"/>
    <w:rsid w:val="00FC6AFB"/>
    <w:rsid w:val="00FD0DC7"/>
    <w:rsid w:val="00FF28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20"/>
    </w:pPr>
    <w:rPr>
      <w:sz w:val="24"/>
      <w:szCs w:val="24"/>
    </w:rPr>
  </w:style>
  <w:style w:type="paragraph" w:styleId="Heading1">
    <w:name w:val="heading 1"/>
    <w:basedOn w:val="Normal"/>
    <w:next w:val="Normal"/>
    <w:qFormat/>
    <w:rsid w:val="009A39F9"/>
    <w:pPr>
      <w:keepNext/>
      <w:spacing w:after="360"/>
      <w:jc w:val="center"/>
      <w:outlineLvl w:val="0"/>
    </w:pPr>
    <w:rPr>
      <w:rFonts w:ascii="Arial" w:hAnsi="Arial" w:cs="Arial"/>
      <w:b/>
      <w:bCs/>
      <w:kern w:val="32"/>
      <w:sz w:val="32"/>
      <w:szCs w:val="32"/>
    </w:rPr>
  </w:style>
  <w:style w:type="paragraph" w:styleId="Heading2">
    <w:name w:val="heading 2"/>
    <w:basedOn w:val="Normal"/>
    <w:next w:val="Normal"/>
    <w:link w:val="Heading2Char"/>
    <w:qFormat/>
    <w:rsid w:val="000F1472"/>
    <w:pPr>
      <w:keepNext/>
      <w:spacing w:before="480"/>
      <w:outlineLvl w:val="1"/>
    </w:pPr>
    <w:rPr>
      <w:rFonts w:ascii="Arial" w:hAnsi="Arial" w:cs="Arial"/>
      <w:b/>
      <w:bCs/>
      <w:iCs/>
      <w:szCs w:val="28"/>
    </w:rPr>
  </w:style>
  <w:style w:type="paragraph" w:styleId="Heading3">
    <w:name w:val="heading 3"/>
    <w:basedOn w:val="Normal"/>
    <w:next w:val="Normal"/>
    <w:qFormat/>
    <w:rsid w:val="002C7386"/>
    <w:pPr>
      <w:keepNext/>
      <w:spacing w:before="120"/>
      <w:outlineLvl w:val="2"/>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Normalnumbered">
    <w:name w:val="Normal numbered"/>
    <w:basedOn w:val="Normal"/>
    <w:pPr>
      <w:numPr>
        <w:numId w:val="1"/>
      </w:numPr>
    </w:pPr>
  </w:style>
  <w:style w:type="paragraph" w:customStyle="1" w:styleId="Normalindentline">
    <w:name w:val="Normal indent line"/>
    <w:basedOn w:val="Normal"/>
    <w:pPr>
      <w:ind w:firstLine="360"/>
    </w:pPr>
  </w:style>
  <w:style w:type="paragraph" w:customStyle="1" w:styleId="Tabletext">
    <w:name w:val="Table text"/>
    <w:next w:val="Normal"/>
    <w:rsid w:val="00D00C75"/>
    <w:pPr>
      <w:spacing w:before="60" w:after="60"/>
    </w:pPr>
    <w:rPr>
      <w:sz w:val="24"/>
      <w:szCs w:val="24"/>
    </w:rPr>
  </w:style>
  <w:style w:type="paragraph" w:customStyle="1" w:styleId="Tableheading">
    <w:name w:val="Table heading"/>
    <w:next w:val="BodyText"/>
    <w:rsid w:val="00D00C75"/>
    <w:pPr>
      <w:spacing w:before="60" w:after="60"/>
      <w:jc w:val="center"/>
    </w:pPr>
    <w:rPr>
      <w:b/>
      <w:sz w:val="24"/>
      <w:szCs w:val="24"/>
    </w:rPr>
  </w:style>
  <w:style w:type="paragraph" w:styleId="PlainText">
    <w:name w:val="Plain Text"/>
    <w:basedOn w:val="Normal"/>
    <w:rsid w:val="002C7386"/>
    <w:pPr>
      <w:spacing w:after="0"/>
    </w:pPr>
    <w:rPr>
      <w:rFonts w:ascii="Courier New" w:hAnsi="Courier New"/>
      <w:sz w:val="20"/>
      <w:szCs w:val="20"/>
    </w:rPr>
  </w:style>
  <w:style w:type="table" w:styleId="TableGrid">
    <w:name w:val="Table Grid"/>
    <w:basedOn w:val="TableNormal"/>
    <w:rsid w:val="007E5195"/>
    <w:pPr>
      <w:spacing w:after="1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right" w:pos="8640"/>
      </w:tabs>
      <w:spacing w:before="360" w:after="0"/>
    </w:pPr>
    <w:rPr>
      <w:rFonts w:ascii="Arial" w:hAnsi="Arial"/>
      <w:sz w:val="18"/>
      <w:lang/>
    </w:rPr>
  </w:style>
  <w:style w:type="paragraph" w:styleId="BodyText">
    <w:name w:val="Body Text"/>
    <w:basedOn w:val="Normal"/>
    <w:rsid w:val="00D00C75"/>
  </w:style>
  <w:style w:type="paragraph" w:customStyle="1" w:styleId="Normalindent">
    <w:name w:val="Normal indent"/>
    <w:basedOn w:val="Normal"/>
    <w:rsid w:val="004207B9"/>
    <w:pPr>
      <w:ind w:left="360"/>
    </w:pPr>
  </w:style>
  <w:style w:type="character" w:styleId="Hyperlink">
    <w:name w:val="Hyperlink"/>
    <w:rsid w:val="00571559"/>
    <w:rPr>
      <w:color w:val="0000FF"/>
      <w:u w:val="single"/>
    </w:rPr>
  </w:style>
  <w:style w:type="paragraph" w:styleId="DocumentMap">
    <w:name w:val="Document Map"/>
    <w:basedOn w:val="Normal"/>
    <w:semiHidden/>
    <w:rsid w:val="009936FB"/>
    <w:pPr>
      <w:shd w:val="clear" w:color="auto" w:fill="000080"/>
    </w:pPr>
    <w:rPr>
      <w:rFonts w:ascii="Tahoma" w:hAnsi="Tahoma" w:cs="Tahoma"/>
      <w:sz w:val="20"/>
      <w:szCs w:val="20"/>
    </w:rPr>
  </w:style>
  <w:style w:type="character" w:styleId="FollowedHyperlink">
    <w:name w:val="FollowedHyperlink"/>
    <w:rsid w:val="00DE5390"/>
    <w:rPr>
      <w:color w:val="800080"/>
      <w:u w:val="single"/>
    </w:rPr>
  </w:style>
  <w:style w:type="paragraph" w:styleId="BalloonText">
    <w:name w:val="Balloon Text"/>
    <w:basedOn w:val="Normal"/>
    <w:semiHidden/>
    <w:rsid w:val="00A20352"/>
    <w:rPr>
      <w:rFonts w:ascii="Tahoma" w:hAnsi="Tahoma" w:cs="Tahoma"/>
      <w:sz w:val="16"/>
      <w:szCs w:val="16"/>
    </w:rPr>
  </w:style>
  <w:style w:type="paragraph" w:customStyle="1" w:styleId="contactheading">
    <w:name w:val="contact heading"/>
    <w:basedOn w:val="Heading2"/>
    <w:rsid w:val="009C48F5"/>
    <w:pPr>
      <w:spacing w:before="120"/>
    </w:pPr>
    <w:rPr>
      <w:rFonts w:ascii="Times New Roman" w:hAnsi="Times New Roman"/>
    </w:rPr>
  </w:style>
  <w:style w:type="character" w:styleId="PageNumber">
    <w:name w:val="page number"/>
    <w:basedOn w:val="DefaultParagraphFont"/>
    <w:rsid w:val="008D7FA5"/>
  </w:style>
  <w:style w:type="paragraph" w:styleId="NormalWeb">
    <w:name w:val="Normal (Web)"/>
    <w:basedOn w:val="Normal"/>
    <w:uiPriority w:val="99"/>
    <w:rsid w:val="005E08C1"/>
    <w:pPr>
      <w:spacing w:before="100" w:beforeAutospacing="1" w:after="100" w:afterAutospacing="1"/>
    </w:pPr>
  </w:style>
  <w:style w:type="character" w:customStyle="1" w:styleId="Heading2Char">
    <w:name w:val="Heading 2 Char"/>
    <w:link w:val="Heading2"/>
    <w:rsid w:val="00797B17"/>
    <w:rPr>
      <w:rFonts w:ascii="Arial" w:hAnsi="Arial" w:cs="Arial"/>
      <w:b/>
      <w:bCs/>
      <w:iCs/>
      <w:sz w:val="24"/>
      <w:szCs w:val="28"/>
      <w:lang w:val="en-US" w:eastAsia="en-US" w:bidi="ar-SA"/>
    </w:rPr>
  </w:style>
  <w:style w:type="character" w:customStyle="1" w:styleId="FooterChar">
    <w:name w:val="Footer Char"/>
    <w:link w:val="Footer"/>
    <w:uiPriority w:val="99"/>
    <w:rsid w:val="00705F50"/>
    <w:rPr>
      <w:rFonts w:ascii="Arial" w:hAnsi="Arial"/>
      <w:sz w:val="18"/>
      <w:szCs w:val="24"/>
    </w:rPr>
  </w:style>
  <w:style w:type="table" w:styleId="TableGrid1">
    <w:name w:val="Table Grid 1"/>
    <w:basedOn w:val="TableNormal"/>
    <w:rsid w:val="00346418"/>
    <w:pPr>
      <w:spacing w:after="12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normalplus">
    <w:name w:val="normal plus"/>
    <w:basedOn w:val="Normal"/>
    <w:rsid w:val="000E783E"/>
    <w:pPr>
      <w:spacing w:after="20"/>
      <w:ind w:right="-620"/>
      <w:jc w:val="both"/>
    </w:pPr>
    <w:rPr>
      <w:rFonts w:ascii="New York" w:hAnsi="New York"/>
      <w:sz w:val="20"/>
      <w:szCs w:val="20"/>
    </w:rPr>
  </w:style>
  <w:style w:type="character" w:styleId="Strong">
    <w:name w:val="Strong"/>
    <w:uiPriority w:val="22"/>
    <w:qFormat/>
    <w:rsid w:val="00101F85"/>
    <w:rPr>
      <w:b/>
      <w:bCs/>
    </w:rPr>
  </w:style>
  <w:style w:type="paragraph" w:styleId="ListParagraph">
    <w:name w:val="List Paragraph"/>
    <w:basedOn w:val="Normal"/>
    <w:uiPriority w:val="34"/>
    <w:qFormat/>
    <w:rsid w:val="00CB5A11"/>
    <w:pPr>
      <w:spacing w:after="0"/>
      <w:ind w:left="720"/>
      <w:contextualSpacing/>
    </w:pPr>
    <w:rPr>
      <w:rFonts w:ascii="Cambria" w:eastAsia="MS Mincho" w:hAnsi="Cambria"/>
    </w:rPr>
  </w:style>
  <w:style w:type="paragraph" w:customStyle="1" w:styleId="BodyText1">
    <w:name w:val="Body Text1"/>
    <w:autoRedefine/>
    <w:rsid w:val="003A028D"/>
    <w:rPr>
      <w:rFonts w:eastAsia="ヒラギノ角ゴ Pro W3"/>
      <w:color w:val="000000"/>
      <w:sz w:val="24"/>
    </w:rPr>
  </w:style>
  <w:style w:type="character" w:customStyle="1" w:styleId="DocID">
    <w:name w:val="DocID"/>
    <w:rsid w:val="0071342C"/>
    <w:rPr>
      <w:rFonts w:ascii="Times New Roman" w:hAnsi="Times New Roman" w:cs="Times New Roman"/>
      <w:b w:val="0"/>
      <w:i w:val="0"/>
      <w:color w:val="000000"/>
      <w:sz w:val="16"/>
      <w:u w:val="none"/>
    </w:rPr>
  </w:style>
  <w:style w:type="paragraph" w:styleId="Title">
    <w:name w:val="Title"/>
    <w:basedOn w:val="Normal"/>
    <w:link w:val="TitleChar"/>
    <w:qFormat/>
    <w:rsid w:val="000A0746"/>
    <w:pPr>
      <w:spacing w:after="0"/>
      <w:jc w:val="center"/>
    </w:pPr>
    <w:rPr>
      <w:rFonts w:ascii="Arial" w:hAnsi="Arial"/>
      <w:b/>
      <w:sz w:val="22"/>
      <w:szCs w:val="22"/>
    </w:rPr>
  </w:style>
  <w:style w:type="character" w:customStyle="1" w:styleId="TitleChar">
    <w:name w:val="Title Char"/>
    <w:link w:val="Title"/>
    <w:rsid w:val="000A0746"/>
    <w:rPr>
      <w:rFonts w:ascii="Arial" w:hAnsi="Arial"/>
      <w:b/>
      <w:sz w:val="22"/>
      <w:szCs w:val="22"/>
    </w:rPr>
  </w:style>
  <w:style w:type="character" w:customStyle="1" w:styleId="tableChar">
    <w:name w:val="table Char"/>
    <w:link w:val="table"/>
    <w:locked/>
    <w:rsid w:val="000A0746"/>
    <w:rPr>
      <w:rFonts w:ascii="AbsaraSansOT-Light" w:hAnsi="AbsaraSansOT-Light"/>
      <w:color w:val="000000"/>
      <w:sz w:val="18"/>
    </w:rPr>
  </w:style>
  <w:style w:type="paragraph" w:customStyle="1" w:styleId="table">
    <w:name w:val="table"/>
    <w:basedOn w:val="Normal"/>
    <w:link w:val="tableChar"/>
    <w:qFormat/>
    <w:rsid w:val="000A0746"/>
    <w:pPr>
      <w:framePr w:hSpace="180" w:wrap="around" w:vAnchor="page" w:hAnchor="margin" w:xAlign="right" w:y="2145"/>
      <w:autoSpaceDE w:val="0"/>
      <w:autoSpaceDN w:val="0"/>
      <w:adjustRightInd w:val="0"/>
      <w:spacing w:after="0" w:line="228" w:lineRule="auto"/>
    </w:pPr>
    <w:rPr>
      <w:rFonts w:ascii="AbsaraSansOT-Light" w:hAnsi="AbsaraSansOT-Light"/>
      <w:color w:val="000000"/>
      <w:sz w:val="18"/>
      <w:szCs w:val="20"/>
    </w:rPr>
  </w:style>
</w:styles>
</file>

<file path=word/webSettings.xml><?xml version="1.0" encoding="utf-8"?>
<w:webSettings xmlns:r="http://schemas.openxmlformats.org/officeDocument/2006/relationships" xmlns:w="http://schemas.openxmlformats.org/wordprocessingml/2006/main">
  <w:divs>
    <w:div w:id="294214508">
      <w:bodyDiv w:val="1"/>
      <w:marLeft w:val="0"/>
      <w:marRight w:val="0"/>
      <w:marTop w:val="0"/>
      <w:marBottom w:val="0"/>
      <w:divBdr>
        <w:top w:val="none" w:sz="0" w:space="0" w:color="auto"/>
        <w:left w:val="none" w:sz="0" w:space="0" w:color="auto"/>
        <w:bottom w:val="none" w:sz="0" w:space="0" w:color="auto"/>
        <w:right w:val="none" w:sz="0" w:space="0" w:color="auto"/>
      </w:divBdr>
    </w:div>
    <w:div w:id="607197523">
      <w:bodyDiv w:val="1"/>
      <w:marLeft w:val="0"/>
      <w:marRight w:val="0"/>
      <w:marTop w:val="0"/>
      <w:marBottom w:val="0"/>
      <w:divBdr>
        <w:top w:val="none" w:sz="0" w:space="0" w:color="auto"/>
        <w:left w:val="none" w:sz="0" w:space="0" w:color="auto"/>
        <w:bottom w:val="none" w:sz="0" w:space="0" w:color="auto"/>
        <w:right w:val="none" w:sz="0" w:space="0" w:color="auto"/>
      </w:divBdr>
      <w:divsChild>
        <w:div w:id="460806338">
          <w:marLeft w:val="0"/>
          <w:marRight w:val="0"/>
          <w:marTop w:val="0"/>
          <w:marBottom w:val="0"/>
          <w:divBdr>
            <w:top w:val="none" w:sz="0" w:space="0" w:color="auto"/>
            <w:left w:val="none" w:sz="0" w:space="0" w:color="auto"/>
            <w:bottom w:val="none" w:sz="0" w:space="0" w:color="auto"/>
            <w:right w:val="none" w:sz="0" w:space="0" w:color="auto"/>
          </w:divBdr>
          <w:divsChild>
            <w:div w:id="1404796467">
              <w:marLeft w:val="0"/>
              <w:marRight w:val="0"/>
              <w:marTop w:val="0"/>
              <w:marBottom w:val="0"/>
              <w:divBdr>
                <w:top w:val="none" w:sz="0" w:space="0" w:color="auto"/>
                <w:left w:val="none" w:sz="0" w:space="0" w:color="auto"/>
                <w:bottom w:val="none" w:sz="0" w:space="0" w:color="auto"/>
                <w:right w:val="none" w:sz="0" w:space="0" w:color="auto"/>
              </w:divBdr>
              <w:divsChild>
                <w:div w:id="1481919729">
                  <w:marLeft w:val="0"/>
                  <w:marRight w:val="0"/>
                  <w:marTop w:val="0"/>
                  <w:marBottom w:val="0"/>
                  <w:divBdr>
                    <w:top w:val="none" w:sz="0" w:space="0" w:color="auto"/>
                    <w:left w:val="none" w:sz="0" w:space="0" w:color="auto"/>
                    <w:bottom w:val="none" w:sz="0" w:space="0" w:color="auto"/>
                    <w:right w:val="none" w:sz="0" w:space="0" w:color="auto"/>
                  </w:divBdr>
                  <w:divsChild>
                    <w:div w:id="1982806412">
                      <w:marLeft w:val="0"/>
                      <w:marRight w:val="0"/>
                      <w:marTop w:val="0"/>
                      <w:marBottom w:val="0"/>
                      <w:divBdr>
                        <w:top w:val="none" w:sz="0" w:space="0" w:color="auto"/>
                        <w:left w:val="none" w:sz="0" w:space="0" w:color="auto"/>
                        <w:bottom w:val="none" w:sz="0" w:space="0" w:color="auto"/>
                        <w:right w:val="none" w:sz="0" w:space="0" w:color="auto"/>
                      </w:divBdr>
                      <w:divsChild>
                        <w:div w:id="410739575">
                          <w:marLeft w:val="0"/>
                          <w:marRight w:val="0"/>
                          <w:marTop w:val="0"/>
                          <w:marBottom w:val="0"/>
                          <w:divBdr>
                            <w:top w:val="none" w:sz="0" w:space="0" w:color="auto"/>
                            <w:left w:val="none" w:sz="0" w:space="0" w:color="auto"/>
                            <w:bottom w:val="none" w:sz="0" w:space="0" w:color="auto"/>
                            <w:right w:val="none" w:sz="0" w:space="0" w:color="auto"/>
                          </w:divBdr>
                          <w:divsChild>
                            <w:div w:id="573440267">
                              <w:marLeft w:val="0"/>
                              <w:marRight w:val="75"/>
                              <w:marTop w:val="0"/>
                              <w:marBottom w:val="0"/>
                              <w:divBdr>
                                <w:top w:val="none" w:sz="0" w:space="0" w:color="auto"/>
                                <w:left w:val="none" w:sz="0" w:space="0" w:color="auto"/>
                                <w:bottom w:val="none" w:sz="0" w:space="0" w:color="auto"/>
                                <w:right w:val="none" w:sz="0" w:space="0" w:color="auto"/>
                              </w:divBdr>
                              <w:divsChild>
                                <w:div w:id="40784352">
                                  <w:marLeft w:val="0"/>
                                  <w:marRight w:val="0"/>
                                  <w:marTop w:val="0"/>
                                  <w:marBottom w:val="0"/>
                                  <w:divBdr>
                                    <w:top w:val="none" w:sz="0" w:space="0" w:color="auto"/>
                                    <w:left w:val="none" w:sz="0" w:space="0" w:color="auto"/>
                                    <w:bottom w:val="none" w:sz="0" w:space="0" w:color="auto"/>
                                    <w:right w:val="none" w:sz="0" w:space="0" w:color="auto"/>
                                  </w:divBdr>
                                  <w:divsChild>
                                    <w:div w:id="1654749673">
                                      <w:marLeft w:val="150"/>
                                      <w:marRight w:val="150"/>
                                      <w:marTop w:val="0"/>
                                      <w:marBottom w:val="0"/>
                                      <w:divBdr>
                                        <w:top w:val="none" w:sz="0" w:space="0" w:color="auto"/>
                                        <w:left w:val="none" w:sz="0" w:space="0" w:color="auto"/>
                                        <w:bottom w:val="none" w:sz="0" w:space="0" w:color="auto"/>
                                        <w:right w:val="none" w:sz="0" w:space="0" w:color="auto"/>
                                      </w:divBdr>
                                      <w:divsChild>
                                        <w:div w:id="1429158171">
                                          <w:marLeft w:val="0"/>
                                          <w:marRight w:val="0"/>
                                          <w:marTop w:val="0"/>
                                          <w:marBottom w:val="0"/>
                                          <w:divBdr>
                                            <w:top w:val="none" w:sz="0" w:space="0" w:color="auto"/>
                                            <w:left w:val="none" w:sz="0" w:space="0" w:color="auto"/>
                                            <w:bottom w:val="none" w:sz="0" w:space="0" w:color="auto"/>
                                            <w:right w:val="none" w:sz="0" w:space="0" w:color="auto"/>
                                          </w:divBdr>
                                          <w:divsChild>
                                            <w:div w:id="108641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2463503">
      <w:bodyDiv w:val="1"/>
      <w:marLeft w:val="0"/>
      <w:marRight w:val="0"/>
      <w:marTop w:val="0"/>
      <w:marBottom w:val="0"/>
      <w:divBdr>
        <w:top w:val="none" w:sz="0" w:space="0" w:color="auto"/>
        <w:left w:val="none" w:sz="0" w:space="0" w:color="auto"/>
        <w:bottom w:val="none" w:sz="0" w:space="0" w:color="auto"/>
        <w:right w:val="none" w:sz="0" w:space="0" w:color="auto"/>
      </w:divBdr>
    </w:div>
    <w:div w:id="803274897">
      <w:bodyDiv w:val="1"/>
      <w:marLeft w:val="0"/>
      <w:marRight w:val="0"/>
      <w:marTop w:val="0"/>
      <w:marBottom w:val="0"/>
      <w:divBdr>
        <w:top w:val="none" w:sz="0" w:space="0" w:color="auto"/>
        <w:left w:val="none" w:sz="0" w:space="0" w:color="auto"/>
        <w:bottom w:val="none" w:sz="0" w:space="0" w:color="auto"/>
        <w:right w:val="none" w:sz="0" w:space="0" w:color="auto"/>
      </w:divBdr>
      <w:divsChild>
        <w:div w:id="882405121">
          <w:marLeft w:val="0"/>
          <w:marRight w:val="0"/>
          <w:marTop w:val="0"/>
          <w:marBottom w:val="0"/>
          <w:divBdr>
            <w:top w:val="none" w:sz="0" w:space="0" w:color="auto"/>
            <w:left w:val="single" w:sz="4" w:space="0" w:color="DED8C8"/>
            <w:bottom w:val="none" w:sz="0" w:space="0" w:color="auto"/>
            <w:right w:val="single" w:sz="4" w:space="0" w:color="DED8C8"/>
          </w:divBdr>
          <w:divsChild>
            <w:div w:id="189610690">
              <w:marLeft w:val="0"/>
              <w:marRight w:val="0"/>
              <w:marTop w:val="0"/>
              <w:marBottom w:val="0"/>
              <w:divBdr>
                <w:top w:val="none" w:sz="0" w:space="0" w:color="auto"/>
                <w:left w:val="single" w:sz="4" w:space="3" w:color="DED8C8"/>
                <w:bottom w:val="none" w:sz="0" w:space="0" w:color="auto"/>
                <w:right w:val="single" w:sz="4" w:space="3" w:color="DED8C8"/>
              </w:divBdr>
            </w:div>
            <w:div w:id="1138886220">
              <w:marLeft w:val="0"/>
              <w:marRight w:val="0"/>
              <w:marTop w:val="0"/>
              <w:marBottom w:val="0"/>
              <w:divBdr>
                <w:top w:val="none" w:sz="0" w:space="0" w:color="auto"/>
                <w:left w:val="none" w:sz="0" w:space="0" w:color="auto"/>
                <w:bottom w:val="none" w:sz="0" w:space="0" w:color="auto"/>
                <w:right w:val="none" w:sz="0" w:space="0" w:color="auto"/>
              </w:divBdr>
              <w:divsChild>
                <w:div w:id="16000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601491">
      <w:bodyDiv w:val="1"/>
      <w:marLeft w:val="0"/>
      <w:marRight w:val="0"/>
      <w:marTop w:val="0"/>
      <w:marBottom w:val="0"/>
      <w:divBdr>
        <w:top w:val="none" w:sz="0" w:space="0" w:color="auto"/>
        <w:left w:val="none" w:sz="0" w:space="0" w:color="auto"/>
        <w:bottom w:val="none" w:sz="0" w:space="0" w:color="auto"/>
        <w:right w:val="none" w:sz="0" w:space="0" w:color="auto"/>
      </w:divBdr>
      <w:divsChild>
        <w:div w:id="857080086">
          <w:marLeft w:val="1051"/>
          <w:marRight w:val="0"/>
          <w:marTop w:val="86"/>
          <w:marBottom w:val="0"/>
          <w:divBdr>
            <w:top w:val="none" w:sz="0" w:space="0" w:color="auto"/>
            <w:left w:val="none" w:sz="0" w:space="0" w:color="auto"/>
            <w:bottom w:val="none" w:sz="0" w:space="0" w:color="auto"/>
            <w:right w:val="none" w:sz="0" w:space="0" w:color="auto"/>
          </w:divBdr>
        </w:div>
        <w:div w:id="1214273110">
          <w:marLeft w:val="547"/>
          <w:marRight w:val="0"/>
          <w:marTop w:val="125"/>
          <w:marBottom w:val="0"/>
          <w:divBdr>
            <w:top w:val="none" w:sz="0" w:space="0" w:color="auto"/>
            <w:left w:val="none" w:sz="0" w:space="0" w:color="auto"/>
            <w:bottom w:val="none" w:sz="0" w:space="0" w:color="auto"/>
            <w:right w:val="none" w:sz="0" w:space="0" w:color="auto"/>
          </w:divBdr>
        </w:div>
      </w:divsChild>
    </w:div>
    <w:div w:id="900482775">
      <w:bodyDiv w:val="1"/>
      <w:marLeft w:val="0"/>
      <w:marRight w:val="0"/>
      <w:marTop w:val="0"/>
      <w:marBottom w:val="0"/>
      <w:divBdr>
        <w:top w:val="none" w:sz="0" w:space="0" w:color="auto"/>
        <w:left w:val="none" w:sz="0" w:space="0" w:color="auto"/>
        <w:bottom w:val="none" w:sz="0" w:space="0" w:color="auto"/>
        <w:right w:val="none" w:sz="0" w:space="0" w:color="auto"/>
      </w:divBdr>
    </w:div>
    <w:div w:id="1113553649">
      <w:bodyDiv w:val="1"/>
      <w:marLeft w:val="0"/>
      <w:marRight w:val="0"/>
      <w:marTop w:val="0"/>
      <w:marBottom w:val="0"/>
      <w:divBdr>
        <w:top w:val="none" w:sz="0" w:space="0" w:color="auto"/>
        <w:left w:val="none" w:sz="0" w:space="0" w:color="auto"/>
        <w:bottom w:val="none" w:sz="0" w:space="0" w:color="auto"/>
        <w:right w:val="none" w:sz="0" w:space="0" w:color="auto"/>
      </w:divBdr>
    </w:div>
    <w:div w:id="1150901656">
      <w:bodyDiv w:val="1"/>
      <w:marLeft w:val="0"/>
      <w:marRight w:val="0"/>
      <w:marTop w:val="0"/>
      <w:marBottom w:val="0"/>
      <w:divBdr>
        <w:top w:val="none" w:sz="0" w:space="0" w:color="auto"/>
        <w:left w:val="none" w:sz="0" w:space="0" w:color="auto"/>
        <w:bottom w:val="none" w:sz="0" w:space="0" w:color="auto"/>
        <w:right w:val="none" w:sz="0" w:space="0" w:color="auto"/>
      </w:divBdr>
    </w:div>
    <w:div w:id="1460956322">
      <w:bodyDiv w:val="1"/>
      <w:marLeft w:val="0"/>
      <w:marRight w:val="0"/>
      <w:marTop w:val="0"/>
      <w:marBottom w:val="0"/>
      <w:divBdr>
        <w:top w:val="none" w:sz="0" w:space="0" w:color="auto"/>
        <w:left w:val="none" w:sz="0" w:space="0" w:color="auto"/>
        <w:bottom w:val="none" w:sz="0" w:space="0" w:color="auto"/>
        <w:right w:val="none" w:sz="0" w:space="0" w:color="auto"/>
      </w:divBdr>
      <w:divsChild>
        <w:div w:id="1133522659">
          <w:marLeft w:val="0"/>
          <w:marRight w:val="0"/>
          <w:marTop w:val="0"/>
          <w:marBottom w:val="0"/>
          <w:divBdr>
            <w:top w:val="none" w:sz="0" w:space="0" w:color="auto"/>
            <w:left w:val="none" w:sz="0" w:space="0" w:color="auto"/>
            <w:bottom w:val="none" w:sz="0" w:space="0" w:color="auto"/>
            <w:right w:val="none" w:sz="0" w:space="0" w:color="auto"/>
          </w:divBdr>
        </w:div>
      </w:divsChild>
    </w:div>
    <w:div w:id="1708023047">
      <w:bodyDiv w:val="1"/>
      <w:marLeft w:val="0"/>
      <w:marRight w:val="0"/>
      <w:marTop w:val="0"/>
      <w:marBottom w:val="0"/>
      <w:divBdr>
        <w:top w:val="none" w:sz="0" w:space="0" w:color="auto"/>
        <w:left w:val="none" w:sz="0" w:space="0" w:color="auto"/>
        <w:bottom w:val="none" w:sz="0" w:space="0" w:color="auto"/>
        <w:right w:val="none" w:sz="0" w:space="0" w:color="auto"/>
      </w:divBdr>
    </w:div>
    <w:div w:id="2082831868">
      <w:bodyDiv w:val="1"/>
      <w:marLeft w:val="0"/>
      <w:marRight w:val="0"/>
      <w:marTop w:val="0"/>
      <w:marBottom w:val="0"/>
      <w:divBdr>
        <w:top w:val="none" w:sz="0" w:space="0" w:color="auto"/>
        <w:left w:val="none" w:sz="0" w:space="0" w:color="auto"/>
        <w:bottom w:val="none" w:sz="0" w:space="0" w:color="auto"/>
        <w:right w:val="none" w:sz="0" w:space="0" w:color="auto"/>
      </w:divBdr>
      <w:divsChild>
        <w:div w:id="89476495">
          <w:marLeft w:val="0"/>
          <w:marRight w:val="0"/>
          <w:marTop w:val="0"/>
          <w:marBottom w:val="0"/>
          <w:divBdr>
            <w:top w:val="none" w:sz="0" w:space="0" w:color="auto"/>
            <w:left w:val="none" w:sz="0" w:space="0" w:color="auto"/>
            <w:bottom w:val="none" w:sz="0" w:space="0" w:color="auto"/>
            <w:right w:val="none" w:sz="0" w:space="0" w:color="auto"/>
          </w:divBdr>
          <w:divsChild>
            <w:div w:id="805271227">
              <w:marLeft w:val="0"/>
              <w:marRight w:val="0"/>
              <w:marTop w:val="0"/>
              <w:marBottom w:val="0"/>
              <w:divBdr>
                <w:top w:val="none" w:sz="0" w:space="0" w:color="auto"/>
                <w:left w:val="none" w:sz="0" w:space="0" w:color="auto"/>
                <w:bottom w:val="none" w:sz="0" w:space="0" w:color="auto"/>
                <w:right w:val="none" w:sz="0" w:space="0" w:color="auto"/>
              </w:divBdr>
              <w:divsChild>
                <w:div w:id="1274090599">
                  <w:marLeft w:val="0"/>
                  <w:marRight w:val="0"/>
                  <w:marTop w:val="0"/>
                  <w:marBottom w:val="0"/>
                  <w:divBdr>
                    <w:top w:val="none" w:sz="0" w:space="0" w:color="auto"/>
                    <w:left w:val="none" w:sz="0" w:space="0" w:color="auto"/>
                    <w:bottom w:val="none" w:sz="0" w:space="0" w:color="auto"/>
                    <w:right w:val="none" w:sz="0" w:space="0" w:color="auto"/>
                  </w:divBdr>
                  <w:divsChild>
                    <w:div w:id="1400402824">
                      <w:marLeft w:val="0"/>
                      <w:marRight w:val="0"/>
                      <w:marTop w:val="0"/>
                      <w:marBottom w:val="0"/>
                      <w:divBdr>
                        <w:top w:val="none" w:sz="0" w:space="0" w:color="auto"/>
                        <w:left w:val="none" w:sz="0" w:space="0" w:color="auto"/>
                        <w:bottom w:val="none" w:sz="0" w:space="0" w:color="auto"/>
                        <w:right w:val="none" w:sz="0" w:space="0" w:color="auto"/>
                      </w:divBdr>
                      <w:divsChild>
                        <w:div w:id="249893691">
                          <w:marLeft w:val="0"/>
                          <w:marRight w:val="0"/>
                          <w:marTop w:val="0"/>
                          <w:marBottom w:val="0"/>
                          <w:divBdr>
                            <w:top w:val="none" w:sz="0" w:space="0" w:color="auto"/>
                            <w:left w:val="none" w:sz="0" w:space="0" w:color="auto"/>
                            <w:bottom w:val="none" w:sz="0" w:space="0" w:color="auto"/>
                            <w:right w:val="none" w:sz="0" w:space="0" w:color="auto"/>
                          </w:divBdr>
                          <w:divsChild>
                            <w:div w:id="1311983234">
                              <w:marLeft w:val="0"/>
                              <w:marRight w:val="75"/>
                              <w:marTop w:val="0"/>
                              <w:marBottom w:val="0"/>
                              <w:divBdr>
                                <w:top w:val="none" w:sz="0" w:space="0" w:color="auto"/>
                                <w:left w:val="none" w:sz="0" w:space="0" w:color="auto"/>
                                <w:bottom w:val="none" w:sz="0" w:space="0" w:color="auto"/>
                                <w:right w:val="none" w:sz="0" w:space="0" w:color="auto"/>
                              </w:divBdr>
                              <w:divsChild>
                                <w:div w:id="1159923424">
                                  <w:marLeft w:val="0"/>
                                  <w:marRight w:val="0"/>
                                  <w:marTop w:val="0"/>
                                  <w:marBottom w:val="0"/>
                                  <w:divBdr>
                                    <w:top w:val="none" w:sz="0" w:space="0" w:color="auto"/>
                                    <w:left w:val="none" w:sz="0" w:space="0" w:color="auto"/>
                                    <w:bottom w:val="none" w:sz="0" w:space="0" w:color="auto"/>
                                    <w:right w:val="none" w:sz="0" w:space="0" w:color="auto"/>
                                  </w:divBdr>
                                  <w:divsChild>
                                    <w:div w:id="1267427577">
                                      <w:marLeft w:val="150"/>
                                      <w:marRight w:val="150"/>
                                      <w:marTop w:val="0"/>
                                      <w:marBottom w:val="0"/>
                                      <w:divBdr>
                                        <w:top w:val="none" w:sz="0" w:space="0" w:color="auto"/>
                                        <w:left w:val="none" w:sz="0" w:space="0" w:color="auto"/>
                                        <w:bottom w:val="none" w:sz="0" w:space="0" w:color="auto"/>
                                        <w:right w:val="none" w:sz="0" w:space="0" w:color="auto"/>
                                      </w:divBdr>
                                      <w:divsChild>
                                        <w:div w:id="1930768372">
                                          <w:marLeft w:val="0"/>
                                          <w:marRight w:val="0"/>
                                          <w:marTop w:val="0"/>
                                          <w:marBottom w:val="0"/>
                                          <w:divBdr>
                                            <w:top w:val="none" w:sz="0" w:space="0" w:color="auto"/>
                                            <w:left w:val="none" w:sz="0" w:space="0" w:color="auto"/>
                                            <w:bottom w:val="none" w:sz="0" w:space="0" w:color="auto"/>
                                            <w:right w:val="none" w:sz="0" w:space="0" w:color="auto"/>
                                          </w:divBdr>
                                          <w:divsChild>
                                            <w:div w:id="691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818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rskinner@fenwick.com"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sjsu.edu/judicial_affairs/index.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sa.sjsu.edu/download/judicial_affairs/Academic_Integrity_Policy_S07-2.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irs.gov/Businesses/Corporations/International-Practice-Unit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C0C0C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822F8-3908-49FE-8102-D7F7C4E8B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2800</Words>
  <Characters>15964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lpstr>
    </vt:vector>
  </TitlesOfParts>
  <Company>San Jose State University</Company>
  <LinksUpToDate>false</LinksUpToDate>
  <CharactersWithSpaces>18727</CharactersWithSpaces>
  <SharedDoc>false</SharedDoc>
  <HLinks>
    <vt:vector size="24" baseType="variant">
      <vt:variant>
        <vt:i4>5046304</vt:i4>
      </vt:variant>
      <vt:variant>
        <vt:i4>9</vt:i4>
      </vt:variant>
      <vt:variant>
        <vt:i4>0</vt:i4>
      </vt:variant>
      <vt:variant>
        <vt:i4>5</vt:i4>
      </vt:variant>
      <vt:variant>
        <vt:lpwstr>http://www.sa.sjsu.edu/judicial_affairs/index.html</vt:lpwstr>
      </vt:variant>
      <vt:variant>
        <vt:lpwstr/>
      </vt:variant>
      <vt:variant>
        <vt:i4>5374019</vt:i4>
      </vt:variant>
      <vt:variant>
        <vt:i4>6</vt:i4>
      </vt:variant>
      <vt:variant>
        <vt:i4>0</vt:i4>
      </vt:variant>
      <vt:variant>
        <vt:i4>5</vt:i4>
      </vt:variant>
      <vt:variant>
        <vt:lpwstr>http://www.sa.sjsu.edu/download/judicial_affairs/Academic_Integrity_Policy_S07-2.pdf</vt:lpwstr>
      </vt:variant>
      <vt:variant>
        <vt:lpwstr/>
      </vt:variant>
      <vt:variant>
        <vt:i4>3604529</vt:i4>
      </vt:variant>
      <vt:variant>
        <vt:i4>3</vt:i4>
      </vt:variant>
      <vt:variant>
        <vt:i4>0</vt:i4>
      </vt:variant>
      <vt:variant>
        <vt:i4>5</vt:i4>
      </vt:variant>
      <vt:variant>
        <vt:lpwstr>http://www.irs.gov/Businesses/Corporations/International-Practice-Units</vt:lpwstr>
      </vt:variant>
      <vt:variant>
        <vt:lpwstr/>
      </vt:variant>
      <vt:variant>
        <vt:i4>1507368</vt:i4>
      </vt:variant>
      <vt:variant>
        <vt:i4>0</vt:i4>
      </vt:variant>
      <vt:variant>
        <vt:i4>0</vt:i4>
      </vt:variant>
      <vt:variant>
        <vt:i4>5</vt:i4>
      </vt:variant>
      <vt:variant>
        <vt:lpwstr>mailto:wrskinner@fenwick.com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dougherty, catherine</dc:creator>
  <cp:lastModifiedBy>Catherine Dougherty</cp:lastModifiedBy>
  <cp:revision>2</cp:revision>
  <dcterms:created xsi:type="dcterms:W3CDTF">2016-04-04T16:19:00Z</dcterms:created>
  <dcterms:modified xsi:type="dcterms:W3CDTF">2016-04-04T16:19:00Z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f4b22894-c9bb-4d07-aa58-0c71843a36a5</vt:lpwstr>
  </property>
</Properties>
</file>