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08" w:rsidRDefault="00BF7A08">
      <w:pPr>
        <w:pStyle w:val="Title"/>
        <w:rPr>
          <w:sz w:val="28"/>
          <w:u w:val="single"/>
        </w:rPr>
      </w:pPr>
      <w:r>
        <w:rPr>
          <w:sz w:val="28"/>
          <w:u w:val="single"/>
        </w:rPr>
        <w:t>Syllabus</w:t>
      </w:r>
    </w:p>
    <w:p w:rsidR="00BF7A08" w:rsidRDefault="00B71F70">
      <w:pPr>
        <w:jc w:val="center"/>
        <w:rPr>
          <w:rFonts w:ascii="Tahoma" w:hAnsi="Tahoma"/>
          <w:b/>
          <w:bCs/>
          <w:caps/>
          <w:sz w:val="28"/>
          <w:u w:val="single"/>
        </w:rPr>
      </w:pPr>
      <w:r>
        <w:rPr>
          <w:rFonts w:ascii="Tahoma" w:hAnsi="Tahoma"/>
          <w:b/>
          <w:bCs/>
          <w:caps/>
          <w:sz w:val="28"/>
          <w:u w:val="single"/>
        </w:rPr>
        <w:t>San Jose State University</w:t>
      </w:r>
    </w:p>
    <w:p w:rsidR="00BF7A08" w:rsidRDefault="00BF7A08">
      <w:pPr>
        <w:rPr>
          <w:rFonts w:ascii="Tahoma" w:hAnsi="Tahoma"/>
        </w:rPr>
      </w:pPr>
    </w:p>
    <w:p w:rsidR="00BF7A08" w:rsidRDefault="00BF7A08">
      <w:pPr>
        <w:rPr>
          <w:rFonts w:ascii="Tahoma" w:hAnsi="Tahoma"/>
        </w:rPr>
      </w:pPr>
    </w:p>
    <w:p w:rsidR="00BF7A08" w:rsidRDefault="00BF7A08">
      <w:r w:rsidRPr="00986FAC">
        <w:rPr>
          <w:b/>
          <w:u w:val="single"/>
        </w:rPr>
        <w:t>Course:</w:t>
      </w:r>
      <w:r w:rsidRPr="00986FAC">
        <w:t xml:space="preserve">  </w:t>
      </w:r>
      <w:r w:rsidR="00374FB2">
        <w:t xml:space="preserve"> </w:t>
      </w:r>
      <w:r w:rsidR="00E14E97">
        <w:tab/>
      </w:r>
      <w:r w:rsidR="00B71F70">
        <w:t>BUS 2</w:t>
      </w:r>
      <w:r w:rsidR="0059287C">
        <w:t>25S</w:t>
      </w:r>
      <w:r w:rsidR="00986FAC" w:rsidRPr="00986FAC">
        <w:t xml:space="preserve"> </w:t>
      </w:r>
      <w:r w:rsidR="00374FB2">
        <w:t>–</w:t>
      </w:r>
      <w:r w:rsidR="00986FAC" w:rsidRPr="00986FAC">
        <w:t xml:space="preserve"> </w:t>
      </w:r>
      <w:r w:rsidR="00374FB2">
        <w:t>Consolidated Income Tax Return</w:t>
      </w:r>
    </w:p>
    <w:p w:rsidR="0096668A" w:rsidRPr="00986FAC" w:rsidRDefault="0096668A">
      <w:r>
        <w:tab/>
      </w:r>
      <w:r w:rsidR="00E14E97">
        <w:tab/>
        <w:t>Fall 2015</w:t>
      </w:r>
    </w:p>
    <w:p w:rsidR="00BF7A08" w:rsidRPr="00986FAC" w:rsidRDefault="00BF7A08"/>
    <w:p w:rsidR="00BF7A08" w:rsidRDefault="00BF7A08">
      <w:r w:rsidRPr="00986FAC">
        <w:rPr>
          <w:b/>
          <w:u w:val="single"/>
        </w:rPr>
        <w:t>Instructor:</w:t>
      </w:r>
      <w:r w:rsidRPr="00986FAC">
        <w:t xml:space="preserve"> </w:t>
      </w:r>
      <w:r w:rsidR="00E14E97">
        <w:tab/>
      </w:r>
      <w:r w:rsidRPr="00986FAC">
        <w:t>Danni Dunn</w:t>
      </w:r>
    </w:p>
    <w:p w:rsidR="00947E90" w:rsidRDefault="00947E90">
      <w:r>
        <w:tab/>
      </w:r>
      <w:r>
        <w:tab/>
        <w:t>925-202-7041</w:t>
      </w:r>
    </w:p>
    <w:p w:rsidR="00947E90" w:rsidRPr="00986FAC" w:rsidRDefault="00947E90">
      <w:r>
        <w:tab/>
      </w:r>
      <w:r>
        <w:tab/>
        <w:t>wyo2step@aol.com</w:t>
      </w:r>
    </w:p>
    <w:p w:rsidR="00BF7A08" w:rsidRPr="00986FAC" w:rsidRDefault="00BF7A08"/>
    <w:p w:rsidR="00BF7A08" w:rsidRPr="00986FAC" w:rsidRDefault="00BF7A08">
      <w:pPr>
        <w:rPr>
          <w:b/>
          <w:u w:val="single"/>
        </w:rPr>
      </w:pPr>
      <w:r w:rsidRPr="00986FAC">
        <w:rPr>
          <w:b/>
          <w:u w:val="single"/>
        </w:rPr>
        <w:t>Texts:</w:t>
      </w:r>
    </w:p>
    <w:p w:rsidR="00BF7A08" w:rsidRPr="00986FAC" w:rsidRDefault="00BF7A08"/>
    <w:p w:rsidR="006942F8" w:rsidRDefault="006942F8">
      <w:proofErr w:type="gramStart"/>
      <w:r>
        <w:t>Internal Revenue Code and Regulations</w:t>
      </w:r>
      <w:r w:rsidR="00E14E97">
        <w:t>.</w:t>
      </w:r>
      <w:proofErr w:type="gramEnd"/>
      <w:r w:rsidR="00E14E97">
        <w:t xml:space="preserve">  </w:t>
      </w:r>
    </w:p>
    <w:p w:rsidR="00BF7A08" w:rsidRDefault="00E14E97">
      <w:r>
        <w:t>BNA Portfolio 754 &amp; 755</w:t>
      </w:r>
    </w:p>
    <w:p w:rsidR="00E14E97" w:rsidRPr="00986FAC" w:rsidRDefault="00E14E97"/>
    <w:p w:rsidR="00BF7A08" w:rsidRPr="00986FAC" w:rsidRDefault="00BF7A08">
      <w:pPr>
        <w:pStyle w:val="Heading1"/>
        <w:rPr>
          <w:rFonts w:ascii="Times New Roman" w:hAnsi="Times New Roman"/>
        </w:rPr>
      </w:pPr>
      <w:r w:rsidRPr="00986FAC">
        <w:rPr>
          <w:rFonts w:ascii="Times New Roman" w:hAnsi="Times New Roman"/>
        </w:rPr>
        <w:t>Exams:</w:t>
      </w:r>
    </w:p>
    <w:p w:rsidR="00BF7A08" w:rsidRPr="00986FAC" w:rsidRDefault="00BF7A08"/>
    <w:p w:rsidR="00BF7A08" w:rsidRPr="00986FAC" w:rsidRDefault="006942F8">
      <w:r>
        <w:t xml:space="preserve">Midterm, </w:t>
      </w:r>
      <w:r w:rsidR="00E14E97">
        <w:t>30</w:t>
      </w:r>
      <w:r w:rsidR="00BF7A08" w:rsidRPr="00986FAC">
        <w:t>% of grade</w:t>
      </w:r>
    </w:p>
    <w:p w:rsidR="00BF7A08" w:rsidRPr="00986FAC" w:rsidRDefault="00BF7A08">
      <w:r w:rsidRPr="00986FAC">
        <w:t>Final Exam, 50% of grade</w:t>
      </w:r>
    </w:p>
    <w:p w:rsidR="00BF7A08" w:rsidRPr="00986FAC" w:rsidRDefault="00BF7A08"/>
    <w:p w:rsidR="00BF7A08" w:rsidRPr="00986FAC" w:rsidRDefault="00BF7A08">
      <w:pPr>
        <w:pStyle w:val="Heading1"/>
        <w:rPr>
          <w:rFonts w:ascii="Times New Roman" w:hAnsi="Times New Roman"/>
        </w:rPr>
      </w:pPr>
      <w:r w:rsidRPr="00986FAC">
        <w:rPr>
          <w:rFonts w:ascii="Times New Roman" w:hAnsi="Times New Roman"/>
        </w:rPr>
        <w:t>Other Assignment:</w:t>
      </w:r>
    </w:p>
    <w:p w:rsidR="00BF7A08" w:rsidRPr="00986FAC" w:rsidRDefault="00BF7A08"/>
    <w:p w:rsidR="00BF7A08" w:rsidRDefault="00E14E97">
      <w:r>
        <w:t>Problem Sets Assigned, 20</w:t>
      </w:r>
      <w:r w:rsidR="00BF7A08" w:rsidRPr="00986FAC">
        <w:t>% of grade</w:t>
      </w:r>
    </w:p>
    <w:p w:rsidR="006B1722" w:rsidRDefault="006B1722"/>
    <w:p w:rsidR="006B1722" w:rsidRDefault="006B1722" w:rsidP="006B1722">
      <w:pPr>
        <w:rPr>
          <w:b/>
        </w:rPr>
      </w:pPr>
      <w:r>
        <w:rPr>
          <w:b/>
        </w:rPr>
        <w:t>Course Description:</w:t>
      </w:r>
    </w:p>
    <w:p w:rsidR="006B1722" w:rsidRDefault="006B1722" w:rsidP="006B1722">
      <w:pPr>
        <w:jc w:val="both"/>
        <w:rPr>
          <w:b/>
        </w:rPr>
      </w:pPr>
    </w:p>
    <w:p w:rsidR="006B1722" w:rsidRDefault="006B1722" w:rsidP="006B1722">
      <w:pPr>
        <w:jc w:val="both"/>
      </w:pPr>
      <w:r w:rsidRPr="004A5798">
        <w:t>Income tax treatmen</w:t>
      </w:r>
      <w:r>
        <w:t>t of tran</w:t>
      </w:r>
      <w:r w:rsidR="006942F8">
        <w:t xml:space="preserve">sactions involving corporations that file consolidated returns with their subsidiaries, including the ability to file consolidated returns, the determination of stock basis, intercompany transactions, disallowed losses, and other operating rules. </w:t>
      </w:r>
    </w:p>
    <w:p w:rsidR="006B1722" w:rsidRDefault="006B1722" w:rsidP="006B1722"/>
    <w:p w:rsidR="006B1722" w:rsidRDefault="006B1722" w:rsidP="006B1722">
      <w:r>
        <w:rPr>
          <w:b/>
        </w:rPr>
        <w:t>Student Objectives:</w:t>
      </w:r>
    </w:p>
    <w:p w:rsidR="006B1722" w:rsidRDefault="006B1722" w:rsidP="006B1722">
      <w:pPr>
        <w:ind w:firstLine="720"/>
        <w:rPr>
          <w:b/>
        </w:rPr>
      </w:pPr>
    </w:p>
    <w:p w:rsidR="006B1722" w:rsidRDefault="006B1722" w:rsidP="006B1722">
      <w:pPr>
        <w:numPr>
          <w:ilvl w:val="0"/>
          <w:numId w:val="2"/>
        </w:numPr>
      </w:pPr>
      <w:r>
        <w:t xml:space="preserve">To understand the various tax rules related to the </w:t>
      </w:r>
      <w:r w:rsidR="006942F8">
        <w:t>filing of consolidated tax returns</w:t>
      </w:r>
      <w:r>
        <w:t>.</w:t>
      </w:r>
    </w:p>
    <w:p w:rsidR="006B1722" w:rsidRDefault="006942F8" w:rsidP="006B1722">
      <w:pPr>
        <w:numPr>
          <w:ilvl w:val="0"/>
          <w:numId w:val="2"/>
        </w:numPr>
      </w:pPr>
      <w:r>
        <w:t>To understand the tax treatment on the disposition or acquisition of a subsidiary</w:t>
      </w:r>
      <w:r w:rsidR="006B1722">
        <w:t>.</w:t>
      </w:r>
    </w:p>
    <w:p w:rsidR="006942F8" w:rsidRDefault="006B1722" w:rsidP="006B1722">
      <w:pPr>
        <w:numPr>
          <w:ilvl w:val="0"/>
          <w:numId w:val="2"/>
        </w:numPr>
      </w:pPr>
      <w:r>
        <w:t xml:space="preserve">To understand </w:t>
      </w:r>
      <w:r w:rsidR="006942F8">
        <w:t>the determination of consolidated taxable income.</w:t>
      </w:r>
    </w:p>
    <w:p w:rsidR="006B1722" w:rsidRDefault="006B1722" w:rsidP="006942F8">
      <w:pPr>
        <w:numPr>
          <w:ilvl w:val="0"/>
          <w:numId w:val="2"/>
        </w:numPr>
      </w:pPr>
      <w:r>
        <w:t xml:space="preserve">To understand the </w:t>
      </w:r>
      <w:r w:rsidR="006942F8">
        <w:t>tax treatment of intercompany transactions between consolidated tax return members</w:t>
      </w:r>
      <w:r>
        <w:t>.</w:t>
      </w:r>
    </w:p>
    <w:p w:rsidR="00947E90" w:rsidRPr="005F11A0" w:rsidRDefault="00947E90" w:rsidP="00947E90">
      <w:r>
        <w:br w:type="page"/>
      </w:r>
    </w:p>
    <w:p w:rsidR="006B1722" w:rsidRPr="00986FAC" w:rsidRDefault="006B1722" w:rsidP="006B1722"/>
    <w:p w:rsidR="006B1722" w:rsidRPr="00986FAC" w:rsidRDefault="006B1722"/>
    <w:p w:rsidR="00BF7A08" w:rsidRPr="00986FAC" w:rsidRDefault="00BF7A08"/>
    <w:p w:rsidR="00BF7A08" w:rsidRPr="00986FAC" w:rsidRDefault="00BF7A08"/>
    <w:tbl>
      <w:tblPr>
        <w:tblW w:w="0" w:type="auto"/>
        <w:tblLook w:val="0000"/>
      </w:tblPr>
      <w:tblGrid>
        <w:gridCol w:w="1346"/>
        <w:gridCol w:w="1450"/>
        <w:gridCol w:w="4962"/>
        <w:gridCol w:w="1818"/>
      </w:tblGrid>
      <w:tr w:rsidR="00EB010C" w:rsidRPr="00986FAC" w:rsidTr="00EB010C">
        <w:tblPrEx>
          <w:tblCellMar>
            <w:top w:w="0" w:type="dxa"/>
            <w:bottom w:w="0" w:type="dxa"/>
          </w:tblCellMar>
        </w:tblPrEx>
        <w:trPr>
          <w:tblHeader/>
        </w:trPr>
        <w:tc>
          <w:tcPr>
            <w:tcW w:w="1346" w:type="dxa"/>
            <w:tcBorders>
              <w:bottom w:val="single" w:sz="4" w:space="0" w:color="auto"/>
            </w:tcBorders>
          </w:tcPr>
          <w:p w:rsidR="00EB010C" w:rsidRPr="00986FAC" w:rsidRDefault="00EB010C">
            <w:pPr>
              <w:spacing w:before="120" w:after="120"/>
              <w:rPr>
                <w:b/>
                <w:bCs/>
              </w:rPr>
            </w:pPr>
            <w:r>
              <w:rPr>
                <w:b/>
                <w:bCs/>
              </w:rPr>
              <w:t>Week</w:t>
            </w:r>
          </w:p>
        </w:tc>
        <w:tc>
          <w:tcPr>
            <w:tcW w:w="1450" w:type="dxa"/>
            <w:tcBorders>
              <w:bottom w:val="single" w:sz="4" w:space="0" w:color="auto"/>
            </w:tcBorders>
          </w:tcPr>
          <w:p w:rsidR="00EB010C" w:rsidRPr="00986FAC" w:rsidRDefault="00EB010C">
            <w:pPr>
              <w:spacing w:before="120" w:after="120"/>
              <w:rPr>
                <w:b/>
                <w:bCs/>
              </w:rPr>
            </w:pPr>
            <w:r w:rsidRPr="00986FAC">
              <w:rPr>
                <w:b/>
                <w:bCs/>
              </w:rPr>
              <w:t>Date</w:t>
            </w:r>
          </w:p>
        </w:tc>
        <w:tc>
          <w:tcPr>
            <w:tcW w:w="4962" w:type="dxa"/>
            <w:tcBorders>
              <w:bottom w:val="single" w:sz="4" w:space="0" w:color="auto"/>
            </w:tcBorders>
          </w:tcPr>
          <w:p w:rsidR="00EB010C" w:rsidRPr="00986FAC" w:rsidRDefault="00EB010C">
            <w:pPr>
              <w:spacing w:before="120" w:after="120"/>
              <w:rPr>
                <w:b/>
                <w:bCs/>
              </w:rPr>
            </w:pPr>
            <w:r w:rsidRPr="00986FAC">
              <w:rPr>
                <w:b/>
                <w:bCs/>
              </w:rPr>
              <w:t>Lecture</w:t>
            </w:r>
          </w:p>
        </w:tc>
        <w:tc>
          <w:tcPr>
            <w:tcW w:w="1818" w:type="dxa"/>
            <w:tcBorders>
              <w:bottom w:val="single" w:sz="4" w:space="0" w:color="auto"/>
            </w:tcBorders>
          </w:tcPr>
          <w:p w:rsidR="00EB010C" w:rsidRPr="00986FAC" w:rsidRDefault="00EB010C">
            <w:pPr>
              <w:pStyle w:val="Heading2"/>
              <w:spacing w:before="120" w:after="120"/>
              <w:rPr>
                <w:rFonts w:ascii="Times New Roman" w:hAnsi="Times New Roman"/>
              </w:rPr>
            </w:pPr>
            <w:r>
              <w:rPr>
                <w:rFonts w:ascii="Times New Roman" w:hAnsi="Times New Roman"/>
              </w:rPr>
              <w:t>Text</w:t>
            </w:r>
          </w:p>
        </w:tc>
      </w:tr>
      <w:tr w:rsidR="00EB010C" w:rsidRPr="00986FAC" w:rsidTr="00EB010C">
        <w:tblPrEx>
          <w:tblCellMar>
            <w:top w:w="0" w:type="dxa"/>
            <w:bottom w:w="0" w:type="dxa"/>
          </w:tblCellMar>
        </w:tblPrEx>
        <w:tc>
          <w:tcPr>
            <w:tcW w:w="1346" w:type="dxa"/>
            <w:tcBorders>
              <w:top w:val="single" w:sz="4" w:space="0" w:color="auto"/>
            </w:tcBorders>
          </w:tcPr>
          <w:p w:rsidR="00EB010C" w:rsidRDefault="00EB010C">
            <w:pPr>
              <w:spacing w:before="120" w:after="120"/>
            </w:pPr>
            <w:r>
              <w:t>1</w:t>
            </w:r>
          </w:p>
        </w:tc>
        <w:tc>
          <w:tcPr>
            <w:tcW w:w="1450" w:type="dxa"/>
            <w:tcBorders>
              <w:top w:val="single" w:sz="4" w:space="0" w:color="auto"/>
            </w:tcBorders>
          </w:tcPr>
          <w:p w:rsidR="00EB010C" w:rsidRPr="00986FAC" w:rsidRDefault="00E14E97">
            <w:pPr>
              <w:spacing w:before="120" w:after="120"/>
            </w:pPr>
            <w:r>
              <w:t>Sept 16</w:t>
            </w:r>
            <w:r w:rsidR="00EB010C">
              <w:t xml:space="preserve"> </w:t>
            </w:r>
          </w:p>
        </w:tc>
        <w:tc>
          <w:tcPr>
            <w:tcW w:w="4962" w:type="dxa"/>
            <w:tcBorders>
              <w:top w:val="single" w:sz="4" w:space="0" w:color="auto"/>
            </w:tcBorders>
          </w:tcPr>
          <w:p w:rsidR="00EB010C" w:rsidRPr="00986FAC" w:rsidRDefault="00EB010C">
            <w:pPr>
              <w:spacing w:before="120" w:after="120"/>
            </w:pPr>
            <w:r w:rsidRPr="00986FAC">
              <w:t xml:space="preserve">Introduction.  Overview of Course.  </w:t>
            </w:r>
            <w:r>
              <w:t>The Evolution of Consolidated Returns; Definition of Affiliated Groups; Administrative Rules</w:t>
            </w:r>
          </w:p>
        </w:tc>
        <w:tc>
          <w:tcPr>
            <w:tcW w:w="1818" w:type="dxa"/>
            <w:tcBorders>
              <w:top w:val="single" w:sz="4" w:space="0" w:color="auto"/>
            </w:tcBorders>
          </w:tcPr>
          <w:p w:rsidR="00EB010C" w:rsidRPr="00986FAC" w:rsidRDefault="00EB010C">
            <w:pPr>
              <w:spacing w:before="120" w:after="120"/>
              <w:jc w:val="center"/>
            </w:pPr>
            <w:r>
              <w:t xml:space="preserve">IRC §1502, IRC §1504, Treas. Reg. §§1.1502-75 and -76 </w:t>
            </w:r>
          </w:p>
        </w:tc>
      </w:tr>
      <w:tr w:rsidR="00EB010C" w:rsidRPr="00986FAC" w:rsidTr="00EB010C">
        <w:tblPrEx>
          <w:tblCellMar>
            <w:top w:w="0" w:type="dxa"/>
            <w:bottom w:w="0" w:type="dxa"/>
          </w:tblCellMar>
        </w:tblPrEx>
        <w:tc>
          <w:tcPr>
            <w:tcW w:w="1346" w:type="dxa"/>
          </w:tcPr>
          <w:p w:rsidR="00EB010C" w:rsidRDefault="00EB010C">
            <w:pPr>
              <w:spacing w:before="120" w:after="120"/>
            </w:pPr>
            <w:r>
              <w:t>2</w:t>
            </w:r>
          </w:p>
        </w:tc>
        <w:tc>
          <w:tcPr>
            <w:tcW w:w="1450" w:type="dxa"/>
          </w:tcPr>
          <w:p w:rsidR="00EB010C" w:rsidRPr="00986FAC" w:rsidRDefault="00E14E97">
            <w:pPr>
              <w:spacing w:before="120" w:after="120"/>
            </w:pPr>
            <w:r>
              <w:t>Sept 23</w:t>
            </w:r>
          </w:p>
        </w:tc>
        <w:tc>
          <w:tcPr>
            <w:tcW w:w="4962" w:type="dxa"/>
          </w:tcPr>
          <w:p w:rsidR="00EB010C" w:rsidRPr="00986FAC" w:rsidRDefault="00EB010C">
            <w:pPr>
              <w:pStyle w:val="Header"/>
              <w:tabs>
                <w:tab w:val="clear" w:pos="4153"/>
                <w:tab w:val="clear" w:pos="8306"/>
              </w:tabs>
              <w:spacing w:before="120" w:after="120"/>
            </w:pPr>
            <w:r>
              <w:t>Definition of Affiliated Groups; Administrative Rules (continued); Reverse Acquisitions</w:t>
            </w:r>
          </w:p>
        </w:tc>
        <w:tc>
          <w:tcPr>
            <w:tcW w:w="1818" w:type="dxa"/>
          </w:tcPr>
          <w:p w:rsidR="00EB010C" w:rsidRPr="00986FAC" w:rsidRDefault="00EB010C">
            <w:pPr>
              <w:spacing w:before="120" w:after="120"/>
              <w:jc w:val="center"/>
            </w:pPr>
            <w:r>
              <w:t>IRC §1504, Treas. Reg. §§1.1502-75 and -76</w:t>
            </w:r>
          </w:p>
        </w:tc>
      </w:tr>
      <w:tr w:rsidR="00EB010C" w:rsidRPr="00986FAC" w:rsidTr="00EB010C">
        <w:tblPrEx>
          <w:tblCellMar>
            <w:top w:w="0" w:type="dxa"/>
            <w:bottom w:w="0" w:type="dxa"/>
          </w:tblCellMar>
        </w:tblPrEx>
        <w:tc>
          <w:tcPr>
            <w:tcW w:w="1346" w:type="dxa"/>
          </w:tcPr>
          <w:p w:rsidR="00EB010C" w:rsidRDefault="00EB010C">
            <w:pPr>
              <w:spacing w:before="120" w:after="120"/>
            </w:pPr>
            <w:r>
              <w:t>3</w:t>
            </w:r>
          </w:p>
        </w:tc>
        <w:tc>
          <w:tcPr>
            <w:tcW w:w="1450" w:type="dxa"/>
          </w:tcPr>
          <w:p w:rsidR="00EB010C" w:rsidRPr="00986FAC" w:rsidRDefault="00E14E97">
            <w:pPr>
              <w:spacing w:before="120" w:after="120"/>
            </w:pPr>
            <w:r>
              <w:t>Oct 14</w:t>
            </w:r>
          </w:p>
        </w:tc>
        <w:tc>
          <w:tcPr>
            <w:tcW w:w="4962" w:type="dxa"/>
          </w:tcPr>
          <w:p w:rsidR="00EB010C" w:rsidRPr="00986FAC" w:rsidRDefault="00EB010C">
            <w:pPr>
              <w:spacing w:before="120" w:after="120"/>
            </w:pPr>
            <w:r>
              <w:t>Intercompany Transactions</w:t>
            </w:r>
          </w:p>
        </w:tc>
        <w:tc>
          <w:tcPr>
            <w:tcW w:w="1818" w:type="dxa"/>
          </w:tcPr>
          <w:p w:rsidR="00EB010C" w:rsidRPr="00986FAC" w:rsidRDefault="00EB010C" w:rsidP="00EB010C">
            <w:pPr>
              <w:spacing w:before="120" w:after="120"/>
              <w:jc w:val="center"/>
            </w:pPr>
            <w:r>
              <w:t>Treas. Reg. 1.503-13</w:t>
            </w:r>
          </w:p>
        </w:tc>
      </w:tr>
      <w:tr w:rsidR="00EB010C" w:rsidRPr="00986FAC" w:rsidTr="00EB010C">
        <w:tblPrEx>
          <w:tblCellMar>
            <w:top w:w="0" w:type="dxa"/>
            <w:bottom w:w="0" w:type="dxa"/>
          </w:tblCellMar>
        </w:tblPrEx>
        <w:tc>
          <w:tcPr>
            <w:tcW w:w="1346" w:type="dxa"/>
          </w:tcPr>
          <w:p w:rsidR="00EB010C" w:rsidRDefault="00EB010C">
            <w:pPr>
              <w:spacing w:before="120" w:after="120"/>
            </w:pPr>
            <w:r>
              <w:t>4</w:t>
            </w:r>
          </w:p>
        </w:tc>
        <w:tc>
          <w:tcPr>
            <w:tcW w:w="1450" w:type="dxa"/>
          </w:tcPr>
          <w:p w:rsidR="00EB010C" w:rsidRPr="00986FAC" w:rsidRDefault="00E14E97">
            <w:pPr>
              <w:spacing w:before="120" w:after="120"/>
            </w:pPr>
            <w:r>
              <w:t>Oct 21</w:t>
            </w:r>
          </w:p>
        </w:tc>
        <w:tc>
          <w:tcPr>
            <w:tcW w:w="4962" w:type="dxa"/>
          </w:tcPr>
          <w:p w:rsidR="00EB010C" w:rsidRPr="00986FAC" w:rsidRDefault="00EB010C">
            <w:pPr>
              <w:spacing w:before="120" w:after="120"/>
            </w:pPr>
            <w:r>
              <w:t>Intercompany Transactions (continued)</w:t>
            </w:r>
          </w:p>
        </w:tc>
        <w:tc>
          <w:tcPr>
            <w:tcW w:w="1818" w:type="dxa"/>
          </w:tcPr>
          <w:p w:rsidR="00EB010C" w:rsidRPr="00986FAC" w:rsidRDefault="00EB010C">
            <w:pPr>
              <w:spacing w:before="120" w:after="120"/>
              <w:jc w:val="center"/>
            </w:pPr>
            <w:r>
              <w:t>Treas. Reg. 1.503-13</w:t>
            </w:r>
          </w:p>
        </w:tc>
      </w:tr>
      <w:tr w:rsidR="00EB010C" w:rsidRPr="00986FAC" w:rsidTr="00EB010C">
        <w:tblPrEx>
          <w:tblCellMar>
            <w:top w:w="0" w:type="dxa"/>
            <w:bottom w:w="0" w:type="dxa"/>
          </w:tblCellMar>
        </w:tblPrEx>
        <w:tc>
          <w:tcPr>
            <w:tcW w:w="1346" w:type="dxa"/>
          </w:tcPr>
          <w:p w:rsidR="00EB010C" w:rsidRDefault="00EB010C">
            <w:pPr>
              <w:spacing w:before="120" w:after="120"/>
            </w:pPr>
            <w:r>
              <w:t>5</w:t>
            </w:r>
          </w:p>
        </w:tc>
        <w:tc>
          <w:tcPr>
            <w:tcW w:w="1450" w:type="dxa"/>
          </w:tcPr>
          <w:p w:rsidR="00EB010C" w:rsidRPr="00986FAC" w:rsidRDefault="00E14E97">
            <w:pPr>
              <w:spacing w:before="120" w:after="120"/>
            </w:pPr>
            <w:r>
              <w:t>Oct 28</w:t>
            </w:r>
          </w:p>
        </w:tc>
        <w:tc>
          <w:tcPr>
            <w:tcW w:w="4962" w:type="dxa"/>
          </w:tcPr>
          <w:p w:rsidR="00EB010C" w:rsidRPr="00986FAC" w:rsidRDefault="00EB010C">
            <w:pPr>
              <w:spacing w:before="120" w:after="120"/>
            </w:pPr>
            <w:r>
              <w:t>Midterm</w:t>
            </w:r>
          </w:p>
        </w:tc>
        <w:tc>
          <w:tcPr>
            <w:tcW w:w="1818" w:type="dxa"/>
          </w:tcPr>
          <w:p w:rsidR="00EB010C" w:rsidRPr="00986FAC" w:rsidRDefault="00EB010C">
            <w:pPr>
              <w:spacing w:before="120" w:after="120"/>
              <w:jc w:val="center"/>
            </w:pPr>
          </w:p>
        </w:tc>
      </w:tr>
      <w:tr w:rsidR="00EB010C" w:rsidRPr="00986FAC" w:rsidTr="00EB010C">
        <w:tblPrEx>
          <w:tblCellMar>
            <w:top w:w="0" w:type="dxa"/>
            <w:bottom w:w="0" w:type="dxa"/>
          </w:tblCellMar>
        </w:tblPrEx>
        <w:tc>
          <w:tcPr>
            <w:tcW w:w="1346" w:type="dxa"/>
          </w:tcPr>
          <w:p w:rsidR="00EB010C" w:rsidRDefault="00EB010C">
            <w:pPr>
              <w:spacing w:before="120" w:after="120"/>
            </w:pPr>
            <w:r>
              <w:t>6</w:t>
            </w:r>
          </w:p>
        </w:tc>
        <w:tc>
          <w:tcPr>
            <w:tcW w:w="1450" w:type="dxa"/>
          </w:tcPr>
          <w:p w:rsidR="00EB010C" w:rsidRPr="00986FAC" w:rsidRDefault="00E14E97">
            <w:pPr>
              <w:spacing w:before="120" w:after="120"/>
            </w:pPr>
            <w:r>
              <w:t>Nov 4</w:t>
            </w:r>
          </w:p>
        </w:tc>
        <w:tc>
          <w:tcPr>
            <w:tcW w:w="4962" w:type="dxa"/>
          </w:tcPr>
          <w:p w:rsidR="00EB010C" w:rsidRDefault="00EB010C" w:rsidP="00EB010C">
            <w:pPr>
              <w:spacing w:before="120" w:after="120"/>
            </w:pPr>
            <w:r>
              <w:t>Consolidated NOLS (determination, SRLY, §§382, 383 &amp; 384 limitations, built-in losses)</w:t>
            </w:r>
          </w:p>
          <w:p w:rsidR="00EB010C" w:rsidRPr="00986FAC" w:rsidRDefault="00EB010C">
            <w:pPr>
              <w:spacing w:before="120" w:after="120"/>
            </w:pPr>
          </w:p>
        </w:tc>
        <w:tc>
          <w:tcPr>
            <w:tcW w:w="1818" w:type="dxa"/>
          </w:tcPr>
          <w:p w:rsidR="00EB010C" w:rsidRPr="00986FAC" w:rsidRDefault="00EB010C" w:rsidP="00EB010C">
            <w:pPr>
              <w:spacing w:before="120" w:after="120"/>
              <w:jc w:val="center"/>
            </w:pPr>
            <w:r>
              <w:t>Treas. Reg. 1.1502-21 and 1.1502-90 et seq.</w:t>
            </w:r>
          </w:p>
        </w:tc>
      </w:tr>
      <w:tr w:rsidR="00EB010C" w:rsidRPr="00986FAC" w:rsidTr="00EB010C">
        <w:tblPrEx>
          <w:tblCellMar>
            <w:top w:w="0" w:type="dxa"/>
            <w:bottom w:w="0" w:type="dxa"/>
          </w:tblCellMar>
        </w:tblPrEx>
        <w:tc>
          <w:tcPr>
            <w:tcW w:w="1346" w:type="dxa"/>
          </w:tcPr>
          <w:p w:rsidR="00EB010C" w:rsidRDefault="00EB010C">
            <w:pPr>
              <w:spacing w:before="120" w:after="120"/>
            </w:pPr>
            <w:r>
              <w:t>7</w:t>
            </w:r>
          </w:p>
        </w:tc>
        <w:tc>
          <w:tcPr>
            <w:tcW w:w="1450" w:type="dxa"/>
          </w:tcPr>
          <w:p w:rsidR="00EB010C" w:rsidRPr="00986FAC" w:rsidRDefault="00E14E97">
            <w:pPr>
              <w:spacing w:before="120" w:after="120"/>
            </w:pPr>
            <w:r>
              <w:t>Nov 18</w:t>
            </w:r>
          </w:p>
        </w:tc>
        <w:tc>
          <w:tcPr>
            <w:tcW w:w="4962" w:type="dxa"/>
          </w:tcPr>
          <w:p w:rsidR="00EB010C" w:rsidRDefault="00EB010C" w:rsidP="00EB010C">
            <w:pPr>
              <w:spacing w:before="120" w:after="120"/>
            </w:pPr>
            <w:r>
              <w:t>Consolidated NOLS (determination, SRLY, §§382, 383 &amp; 384 limitations, built-in losses)  - continues</w:t>
            </w:r>
          </w:p>
          <w:p w:rsidR="00EB010C" w:rsidRPr="00986FAC" w:rsidRDefault="00EB010C">
            <w:pPr>
              <w:spacing w:before="120" w:after="120"/>
            </w:pPr>
          </w:p>
        </w:tc>
        <w:tc>
          <w:tcPr>
            <w:tcW w:w="1818" w:type="dxa"/>
          </w:tcPr>
          <w:p w:rsidR="00EB010C" w:rsidRPr="00986FAC" w:rsidRDefault="00EB010C">
            <w:pPr>
              <w:spacing w:before="120" w:after="120"/>
              <w:jc w:val="center"/>
            </w:pPr>
          </w:p>
        </w:tc>
      </w:tr>
      <w:tr w:rsidR="00EB010C" w:rsidRPr="00986FAC" w:rsidTr="00EB010C">
        <w:tblPrEx>
          <w:tblCellMar>
            <w:top w:w="0" w:type="dxa"/>
            <w:bottom w:w="0" w:type="dxa"/>
          </w:tblCellMar>
        </w:tblPrEx>
        <w:tc>
          <w:tcPr>
            <w:tcW w:w="1346" w:type="dxa"/>
          </w:tcPr>
          <w:p w:rsidR="00EB010C" w:rsidRDefault="00EB010C">
            <w:pPr>
              <w:spacing w:before="120" w:after="120"/>
            </w:pPr>
            <w:r>
              <w:t>8</w:t>
            </w:r>
            <w:r w:rsidR="00E14E97">
              <w:t xml:space="preserve"> &amp; 9</w:t>
            </w:r>
          </w:p>
        </w:tc>
        <w:tc>
          <w:tcPr>
            <w:tcW w:w="1450" w:type="dxa"/>
          </w:tcPr>
          <w:p w:rsidR="00EB010C" w:rsidRPr="00986FAC" w:rsidRDefault="00E14E97">
            <w:pPr>
              <w:spacing w:before="120" w:after="120"/>
            </w:pPr>
            <w:r>
              <w:t>Nov 21</w:t>
            </w:r>
          </w:p>
        </w:tc>
        <w:tc>
          <w:tcPr>
            <w:tcW w:w="4962" w:type="dxa"/>
          </w:tcPr>
          <w:p w:rsidR="00EB010C" w:rsidRPr="00986FAC" w:rsidRDefault="00EB010C">
            <w:pPr>
              <w:spacing w:before="120" w:after="120"/>
            </w:pPr>
            <w:r>
              <w:t>Determination of Stock Basis; Loss Disallowance Rules; Loss Duplication Rules; Earnings and profits</w:t>
            </w:r>
          </w:p>
        </w:tc>
        <w:tc>
          <w:tcPr>
            <w:tcW w:w="1818" w:type="dxa"/>
          </w:tcPr>
          <w:p w:rsidR="00EB010C" w:rsidRPr="00986FAC" w:rsidRDefault="00EB010C" w:rsidP="00EB010C">
            <w:pPr>
              <w:spacing w:before="120" w:after="120"/>
              <w:jc w:val="center"/>
            </w:pPr>
            <w:r>
              <w:t>Treas. Reg. §§1.1502-32, 1.1502-35, 1.337(d)-2</w:t>
            </w:r>
          </w:p>
        </w:tc>
      </w:tr>
      <w:tr w:rsidR="00EB010C" w:rsidRPr="00986FAC" w:rsidTr="00EB010C">
        <w:tblPrEx>
          <w:tblCellMar>
            <w:top w:w="0" w:type="dxa"/>
            <w:bottom w:w="0" w:type="dxa"/>
          </w:tblCellMar>
        </w:tblPrEx>
        <w:tc>
          <w:tcPr>
            <w:tcW w:w="1346" w:type="dxa"/>
          </w:tcPr>
          <w:p w:rsidR="00EB010C" w:rsidRDefault="00E14E97">
            <w:pPr>
              <w:spacing w:before="120" w:after="120"/>
            </w:pPr>
            <w:r>
              <w:t>10</w:t>
            </w:r>
          </w:p>
        </w:tc>
        <w:tc>
          <w:tcPr>
            <w:tcW w:w="1450" w:type="dxa"/>
          </w:tcPr>
          <w:p w:rsidR="00EB010C" w:rsidRPr="00986FAC" w:rsidRDefault="00E14E97">
            <w:pPr>
              <w:spacing w:before="120" w:after="120"/>
            </w:pPr>
            <w:r>
              <w:t xml:space="preserve">Dec </w:t>
            </w:r>
            <w:r w:rsidR="00595B22">
              <w:t>9</w:t>
            </w:r>
          </w:p>
        </w:tc>
        <w:tc>
          <w:tcPr>
            <w:tcW w:w="4962" w:type="dxa"/>
          </w:tcPr>
          <w:p w:rsidR="00EB010C" w:rsidRPr="00986FAC" w:rsidRDefault="00E14E97">
            <w:pPr>
              <w:spacing w:before="120" w:after="120"/>
            </w:pPr>
            <w:r>
              <w:t>Final Exam</w:t>
            </w:r>
          </w:p>
        </w:tc>
        <w:tc>
          <w:tcPr>
            <w:tcW w:w="1818" w:type="dxa"/>
          </w:tcPr>
          <w:p w:rsidR="00EB010C" w:rsidRPr="00986FAC" w:rsidRDefault="00EB010C">
            <w:pPr>
              <w:spacing w:before="120" w:after="120"/>
              <w:jc w:val="center"/>
            </w:pPr>
          </w:p>
        </w:tc>
      </w:tr>
    </w:tbl>
    <w:p w:rsidR="005E5203" w:rsidRDefault="005E5203"/>
    <w:p w:rsidR="00E14E97" w:rsidRDefault="00E14E97">
      <w:r>
        <w:br w:type="page"/>
      </w:r>
    </w:p>
    <w:tbl>
      <w:tblPr>
        <w:tblW w:w="0" w:type="auto"/>
        <w:tblLook w:val="0000"/>
      </w:tblPr>
      <w:tblGrid>
        <w:gridCol w:w="1341"/>
        <w:gridCol w:w="1450"/>
        <w:gridCol w:w="4962"/>
        <w:gridCol w:w="1823"/>
      </w:tblGrid>
      <w:tr w:rsidR="00EB010C" w:rsidRPr="00986FAC" w:rsidTr="00E14E97">
        <w:tblPrEx>
          <w:tblCellMar>
            <w:top w:w="0" w:type="dxa"/>
            <w:bottom w:w="0" w:type="dxa"/>
          </w:tblCellMar>
        </w:tblPrEx>
        <w:tc>
          <w:tcPr>
            <w:tcW w:w="1341" w:type="dxa"/>
          </w:tcPr>
          <w:p w:rsidR="00EB010C" w:rsidRDefault="00EB010C">
            <w:pPr>
              <w:spacing w:before="120" w:after="120"/>
            </w:pPr>
          </w:p>
        </w:tc>
        <w:tc>
          <w:tcPr>
            <w:tcW w:w="1450" w:type="dxa"/>
          </w:tcPr>
          <w:p w:rsidR="00EB010C" w:rsidRPr="00986FAC" w:rsidRDefault="00EB010C">
            <w:pPr>
              <w:spacing w:before="120" w:after="120"/>
            </w:pPr>
          </w:p>
        </w:tc>
        <w:tc>
          <w:tcPr>
            <w:tcW w:w="4962" w:type="dxa"/>
          </w:tcPr>
          <w:p w:rsidR="005E5203" w:rsidRPr="00986FAC" w:rsidRDefault="005E5203">
            <w:pPr>
              <w:spacing w:before="120" w:after="120"/>
            </w:pPr>
          </w:p>
        </w:tc>
        <w:tc>
          <w:tcPr>
            <w:tcW w:w="1823" w:type="dxa"/>
          </w:tcPr>
          <w:p w:rsidR="00EB010C" w:rsidRPr="00986FAC" w:rsidRDefault="00EB010C">
            <w:pPr>
              <w:spacing w:before="120" w:after="120"/>
              <w:jc w:val="center"/>
            </w:pPr>
          </w:p>
        </w:tc>
      </w:tr>
      <w:tr w:rsidR="005E5203" w:rsidRPr="00986FAC" w:rsidTr="000E44B7">
        <w:tblPrEx>
          <w:tblCellMar>
            <w:top w:w="0" w:type="dxa"/>
            <w:bottom w:w="0" w:type="dxa"/>
          </w:tblCellMar>
        </w:tblPrEx>
        <w:tc>
          <w:tcPr>
            <w:tcW w:w="1341" w:type="dxa"/>
          </w:tcPr>
          <w:p w:rsidR="005E5203" w:rsidRPr="00986FAC" w:rsidRDefault="005E5203" w:rsidP="000E44B7">
            <w:pPr>
              <w:spacing w:before="120" w:after="120"/>
            </w:pPr>
          </w:p>
        </w:tc>
        <w:tc>
          <w:tcPr>
            <w:tcW w:w="8235" w:type="dxa"/>
            <w:gridSpan w:val="3"/>
          </w:tcPr>
          <w:p w:rsidR="005E5203" w:rsidRDefault="005E5203" w:rsidP="00054005">
            <w:pPr>
              <w:spacing w:before="120" w:after="120"/>
              <w:jc w:val="both"/>
              <w:rPr>
                <w:b/>
              </w:rPr>
            </w:pPr>
            <w:r w:rsidRPr="009470B3">
              <w:rPr>
                <w:b/>
              </w:rPr>
              <w:t>Academic Integrity</w:t>
            </w:r>
          </w:p>
          <w:p w:rsidR="005E5203" w:rsidRPr="009470B3" w:rsidRDefault="005E5203" w:rsidP="000E44B7">
            <w:pPr>
              <w:spacing w:before="120" w:after="120"/>
            </w:pPr>
            <w:r>
              <w:t>Students should know the University’s Academic Policy that is available at:</w:t>
            </w:r>
          </w:p>
          <w:p w:rsidR="005E5203" w:rsidRDefault="005E5203" w:rsidP="000E44B7">
            <w:pPr>
              <w:spacing w:before="120" w:after="120"/>
              <w:rPr>
                <w:rStyle w:val="Hyperlink"/>
              </w:rPr>
            </w:pPr>
            <w:r w:rsidRPr="00E55A4A">
              <w:br/>
            </w:r>
            <w:hyperlink r:id="rId7" w:history="1">
              <w:r w:rsidRPr="00E21A49">
                <w:rPr>
                  <w:rStyle w:val="Hyperlink"/>
                </w:rPr>
                <w:t>http://www.sa.sjsu.edu/download/judicial_affairs/Academic_Integrity_Policy_S07-2.pdf</w:t>
              </w:r>
            </w:hyperlink>
          </w:p>
          <w:p w:rsidR="005E5203" w:rsidRDefault="005E5203" w:rsidP="000E44B7">
            <w:pPr>
              <w:spacing w:before="120" w:after="120"/>
              <w:rPr>
                <w:rStyle w:val="Hyperlink"/>
              </w:rPr>
            </w:pPr>
            <w:r w:rsidRPr="00E55A4A">
              <w:br/>
            </w:r>
            <w:r w:rsidRPr="00E21A49">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r w:rsidRPr="00E21A49">
              <w:br/>
            </w:r>
            <w:hyperlink r:id="rId8" w:history="1">
              <w:r w:rsidRPr="00E21A49">
                <w:rPr>
                  <w:rStyle w:val="Hyperlink"/>
                </w:rPr>
                <w:t>http://www.sa.sjsu.edu/judicial_affairs/index.html</w:t>
              </w:r>
            </w:hyperlink>
          </w:p>
          <w:p w:rsidR="005E5203" w:rsidRPr="00E21A49" w:rsidRDefault="005E5203" w:rsidP="000E44B7">
            <w:pPr>
              <w:spacing w:before="120" w:after="120"/>
            </w:pPr>
          </w:p>
          <w:p w:rsidR="005E5203" w:rsidRPr="00E55A4A" w:rsidRDefault="005E5203" w:rsidP="000E44B7">
            <w:pPr>
              <w:spacing w:before="120" w:after="120"/>
            </w:pPr>
            <w:r w:rsidRPr="00E21A49">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5E5203" w:rsidRPr="00E55A4A" w:rsidRDefault="005E5203" w:rsidP="000E44B7">
            <w:pPr>
              <w:spacing w:before="120" w:after="120"/>
            </w:pPr>
            <w:r w:rsidRPr="00E55A4A">
              <w:t>Campus Policy in Compliance with the American Disabilities Act</w:t>
            </w:r>
          </w:p>
          <w:p w:rsidR="005E5203" w:rsidRDefault="005E5203" w:rsidP="000E44B7">
            <w:pPr>
              <w:spacing w:before="120" w:after="120"/>
            </w:pPr>
            <w:r w:rsidRPr="00E55A4A">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r>
              <w:t>.</w:t>
            </w:r>
          </w:p>
          <w:p w:rsidR="005E5203" w:rsidRPr="00986FAC" w:rsidRDefault="005E5203" w:rsidP="000E44B7">
            <w:pPr>
              <w:spacing w:before="120" w:after="120"/>
            </w:pPr>
          </w:p>
        </w:tc>
      </w:tr>
    </w:tbl>
    <w:p w:rsidR="005E5203" w:rsidRDefault="005E5203" w:rsidP="005E5203"/>
    <w:p w:rsidR="00BF7A08" w:rsidRPr="00986FAC" w:rsidRDefault="00BF7A08"/>
    <w:sectPr w:rsidR="00BF7A08" w:rsidRPr="00986FAC">
      <w:footerReference w:type="default" r:id="rId9"/>
      <w:footerReference w:type="first" r:id="rId10"/>
      <w:pgSz w:w="12240" w:h="15840" w:code="1"/>
      <w:pgMar w:top="1440" w:right="1440" w:bottom="1440" w:left="1440" w:header="1152"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18F" w:rsidRDefault="008B218F">
      <w:r>
        <w:separator/>
      </w:r>
    </w:p>
  </w:endnote>
  <w:endnote w:type="continuationSeparator" w:id="0">
    <w:p w:rsidR="008B218F" w:rsidRDefault="008B2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1B" w:rsidRDefault="00E5551B">
    <w:pPr>
      <w:pStyle w:val="Footer"/>
      <w:tabs>
        <w:tab w:val="clear" w:pos="4153"/>
        <w:tab w:val="clear" w:pos="8306"/>
        <w:tab w:val="center" w:pos="4770"/>
        <w:tab w:val="right" w:pos="9360"/>
      </w:tabs>
      <w:rPr>
        <w:rFonts w:ascii="Tahoma" w:hAnsi="Tahoma" w:cs="Tahoma"/>
        <w:sz w:val="14"/>
      </w:rPr>
    </w:pPr>
    <w:r>
      <w:rPr>
        <w:rFonts w:ascii="Tahoma" w:hAnsi="Tahoma" w:cs="Tahoma"/>
        <w:sz w:val="14"/>
      </w:rPr>
      <w:tab/>
    </w:r>
    <w:r>
      <w:rPr>
        <w:rFonts w:ascii="Tahoma" w:hAnsi="Tahoma" w:cs="Tahoma"/>
        <w:sz w:val="20"/>
      </w:rPr>
      <w:t>-</w:t>
    </w: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AF3553">
      <w:rPr>
        <w:rStyle w:val="PageNumber"/>
        <w:rFonts w:ascii="Tahoma" w:hAnsi="Tahoma" w:cs="Tahoma"/>
        <w:noProof/>
        <w:sz w:val="20"/>
      </w:rPr>
      <w:t>1</w:t>
    </w:r>
    <w:r>
      <w:rPr>
        <w:rStyle w:val="PageNumber"/>
        <w:rFonts w:ascii="Tahoma" w:hAnsi="Tahoma" w:cs="Tahoma"/>
        <w:sz w:val="20"/>
      </w:rPr>
      <w:fldChar w:fldCharType="end"/>
    </w:r>
    <w:r>
      <w:rPr>
        <w:rStyle w:val="PageNumber"/>
        <w:rFonts w:ascii="Tahoma" w:hAnsi="Tahoma" w:cs="Tahoma"/>
        <w:sz w:val="20"/>
      </w:rPr>
      <w:t>-</w:t>
    </w:r>
    <w:r>
      <w:rPr>
        <w:rFonts w:ascii="Tahoma" w:hAnsi="Tahoma" w:cs="Tahoma"/>
        <w:sz w:val="14"/>
      </w:rPr>
      <w:tab/>
      <w:t>01.14.04 Syllabus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1B" w:rsidRDefault="00E5551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18F" w:rsidRDefault="008B218F">
      <w:r>
        <w:separator/>
      </w:r>
    </w:p>
  </w:footnote>
  <w:footnote w:type="continuationSeparator" w:id="0">
    <w:p w:rsidR="008B218F" w:rsidRDefault="008B2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5CE5"/>
    <w:multiLevelType w:val="hybridMultilevel"/>
    <w:tmpl w:val="61A8C016"/>
    <w:lvl w:ilvl="0" w:tplc="7A5447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3F62169"/>
    <w:multiLevelType w:val="hybridMultilevel"/>
    <w:tmpl w:val="BE2C4EF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86FAC"/>
    <w:rsid w:val="00015DF9"/>
    <w:rsid w:val="00054005"/>
    <w:rsid w:val="00070819"/>
    <w:rsid w:val="000E44B7"/>
    <w:rsid w:val="001C7457"/>
    <w:rsid w:val="002C3064"/>
    <w:rsid w:val="00374FB2"/>
    <w:rsid w:val="003F4352"/>
    <w:rsid w:val="004E6151"/>
    <w:rsid w:val="00552F96"/>
    <w:rsid w:val="0059287C"/>
    <w:rsid w:val="00595B22"/>
    <w:rsid w:val="005D22F5"/>
    <w:rsid w:val="005E5203"/>
    <w:rsid w:val="006942F8"/>
    <w:rsid w:val="006B1722"/>
    <w:rsid w:val="007451CF"/>
    <w:rsid w:val="00762D79"/>
    <w:rsid w:val="0077300B"/>
    <w:rsid w:val="007D3867"/>
    <w:rsid w:val="008B218F"/>
    <w:rsid w:val="0093485E"/>
    <w:rsid w:val="00947E90"/>
    <w:rsid w:val="0096668A"/>
    <w:rsid w:val="00986FAC"/>
    <w:rsid w:val="00A448F6"/>
    <w:rsid w:val="00A94DD4"/>
    <w:rsid w:val="00AA5884"/>
    <w:rsid w:val="00AE2784"/>
    <w:rsid w:val="00AE5C0B"/>
    <w:rsid w:val="00AF3553"/>
    <w:rsid w:val="00B528D4"/>
    <w:rsid w:val="00B71F70"/>
    <w:rsid w:val="00BB6274"/>
    <w:rsid w:val="00BF7A08"/>
    <w:rsid w:val="00D4678C"/>
    <w:rsid w:val="00DA0523"/>
    <w:rsid w:val="00DA237D"/>
    <w:rsid w:val="00E14E97"/>
    <w:rsid w:val="00E5551B"/>
    <w:rsid w:val="00EB0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10C"/>
    <w:rPr>
      <w:sz w:val="24"/>
      <w:szCs w:val="24"/>
    </w:rPr>
  </w:style>
  <w:style w:type="paragraph" w:styleId="Heading1">
    <w:name w:val="heading 1"/>
    <w:basedOn w:val="Normal"/>
    <w:next w:val="Normal"/>
    <w:qFormat/>
    <w:pPr>
      <w:keepNext/>
      <w:outlineLvl w:val="0"/>
    </w:pPr>
    <w:rPr>
      <w:rFonts w:ascii="Tahoma" w:hAnsi="Tahoma"/>
      <w:b/>
      <w:bCs/>
      <w:u w:val="single"/>
    </w:rPr>
  </w:style>
  <w:style w:type="paragraph" w:styleId="Heading2">
    <w:name w:val="heading 2"/>
    <w:basedOn w:val="Normal"/>
    <w:next w:val="Normal"/>
    <w:qFormat/>
    <w:pPr>
      <w:keepNext/>
      <w:spacing w:before="60" w:after="60"/>
      <w:jc w:val="center"/>
      <w:outlineLvl w:val="1"/>
    </w:pPr>
    <w:rPr>
      <w:rFonts w:ascii="Tahoma" w:hAnsi="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bCs/>
      <w:caps/>
    </w:rPr>
  </w:style>
  <w:style w:type="character" w:styleId="Hyperlink">
    <w:name w:val="Hyperlink"/>
    <w:rsid w:val="005E520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a.sjsu.edu/judicial_affairs/index.html" TargetMode="External"/><Relationship Id="rId3" Type="http://schemas.openxmlformats.org/officeDocument/2006/relationships/settings" Target="settings.xml"/><Relationship Id="rId7" Type="http://schemas.openxmlformats.org/officeDocument/2006/relationships/hyperlink" Target="http://www.sa.sjsu.edu/download/judicial_affairs/Academic_Integrity_Policy_S07-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SYLLABUS</vt:lpstr>
    </vt:vector>
  </TitlesOfParts>
  <Company>Ernst &amp; Young</Company>
  <LinksUpToDate>false</LinksUpToDate>
  <CharactersWithSpaces>3805</CharactersWithSpaces>
  <SharedDoc>false</SharedDoc>
  <HLinks>
    <vt:vector size="12" baseType="variant">
      <vt:variant>
        <vt:i4>5046304</vt:i4>
      </vt:variant>
      <vt:variant>
        <vt:i4>3</vt:i4>
      </vt:variant>
      <vt:variant>
        <vt:i4>0</vt:i4>
      </vt:variant>
      <vt:variant>
        <vt:i4>5</vt:i4>
      </vt:variant>
      <vt:variant>
        <vt:lpwstr>http://www.sa.sjsu.edu/judicial_affairs/index.html</vt:lpwstr>
      </vt:variant>
      <vt:variant>
        <vt:lpwstr/>
      </vt:variant>
      <vt:variant>
        <vt:i4>5374019</vt:i4>
      </vt:variant>
      <vt:variant>
        <vt:i4>0</vt:i4>
      </vt:variant>
      <vt:variant>
        <vt:i4>0</vt:i4>
      </vt:variant>
      <vt:variant>
        <vt:i4>5</vt:i4>
      </vt:variant>
      <vt:variant>
        <vt:lpwstr>http://www.sa.sjsu.edu/download/judicial_affairs/Academic_Integrity_Policy_S07-2.pdf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Julie  Montalvo</dc:creator>
  <cp:lastModifiedBy>Catherine Dougherty</cp:lastModifiedBy>
  <cp:revision>2</cp:revision>
  <cp:lastPrinted>2006-04-06T21:08:00Z</cp:lastPrinted>
  <dcterms:created xsi:type="dcterms:W3CDTF">2015-08-11T16:49:00Z</dcterms:created>
  <dcterms:modified xsi:type="dcterms:W3CDTF">2015-08-11T16:49:00Z</dcterms:modified>
</cp:coreProperties>
</file>