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D3" w:rsidRDefault="00CE1315" w:rsidP="00CE1315">
      <w:pPr>
        <w:jc w:val="center"/>
      </w:pPr>
      <w:r>
        <w:t>Bus 223F – Accounting Periods &amp; Methods</w:t>
      </w:r>
    </w:p>
    <w:p w:rsidR="00CE1315" w:rsidRDefault="00AD0373" w:rsidP="00CE1315">
      <w:pPr>
        <w:jc w:val="center"/>
      </w:pPr>
      <w:r>
        <w:t>Introductory Exercise</w:t>
      </w:r>
    </w:p>
    <w:p w:rsidR="00CE1315" w:rsidRDefault="00CE1315" w:rsidP="00CE1315">
      <w:pPr>
        <w:jc w:val="center"/>
      </w:pPr>
    </w:p>
    <w:p w:rsidR="00CE1315" w:rsidRDefault="00AD0373" w:rsidP="00CE1315">
      <w:pPr>
        <w:spacing w:after="120"/>
        <w:ind w:left="43"/>
      </w:pPr>
      <w:r>
        <w:t>Use your current knowledge (before doing any 223F reading) to c</w:t>
      </w:r>
      <w:r w:rsidR="00CE1315">
        <w:t>omplete this chart by indicating the GAAP and ta</w:t>
      </w:r>
      <w:r>
        <w:t>x return treatment of each item. Bring it with you to the first class.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2"/>
        <w:gridCol w:w="3192"/>
        <w:gridCol w:w="3192"/>
      </w:tblGrid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8B050E">
            <w:pPr>
              <w:jc w:val="center"/>
            </w:pPr>
            <w:r>
              <w:t>Transaction</w:t>
            </w:r>
          </w:p>
        </w:tc>
        <w:tc>
          <w:tcPr>
            <w:tcW w:w="3192" w:type="dxa"/>
            <w:shd w:val="clear" w:color="auto" w:fill="auto"/>
          </w:tcPr>
          <w:p w:rsidR="00CE1315" w:rsidRDefault="00CE1315" w:rsidP="008B050E">
            <w:pPr>
              <w:jc w:val="center"/>
            </w:pPr>
            <w:r>
              <w:t>GAAP</w:t>
            </w:r>
          </w:p>
        </w:tc>
        <w:tc>
          <w:tcPr>
            <w:tcW w:w="3192" w:type="dxa"/>
            <w:shd w:val="clear" w:color="auto" w:fill="auto"/>
          </w:tcPr>
          <w:p w:rsidR="00CE1315" w:rsidRDefault="00CE1315" w:rsidP="008B050E">
            <w:pPr>
              <w:jc w:val="center"/>
            </w:pPr>
            <w:r>
              <w:t>Tax</w:t>
            </w:r>
          </w:p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Method of accounting for consulting firm with $15 million in revenues</w:t>
            </w:r>
          </w:p>
          <w:p w:rsidR="00CE1315" w:rsidRDefault="00CE1315" w:rsidP="00CE1315"/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Landlord collects 6 months rent in advance</w:t>
            </w:r>
          </w:p>
          <w:p w:rsidR="00CE1315" w:rsidRDefault="00CE1315" w:rsidP="00CE1315"/>
          <w:p w:rsidR="00CE1315" w:rsidRDefault="00CE1315" w:rsidP="00CE1315"/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Business owes $10,000 rent each month but hasn’t paid for the past 15 months.</w:t>
            </w:r>
          </w:p>
          <w:p w:rsidR="00CE1315" w:rsidRDefault="00CE1315" w:rsidP="00CE1315"/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Taxpayer purchases $40,000 of inventory.</w:t>
            </w:r>
          </w:p>
          <w:p w:rsidR="00CE1315" w:rsidRDefault="00CE1315" w:rsidP="00CE1315"/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Taxpayer purchases $10,000 of supplies for its office operations.</w:t>
            </w:r>
          </w:p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Taxpayer hires shareholder’s brother to provide plumbing ser</w:t>
            </w:r>
            <w:r w:rsidR="008B050E">
              <w:t>vices. Work is performed in 2014</w:t>
            </w:r>
            <w:r>
              <w:t xml:space="preserve"> but plu</w:t>
            </w:r>
            <w:r w:rsidR="008B050E">
              <w:t>mber is not paid until June 2015</w:t>
            </w:r>
            <w:r>
              <w:t>.</w:t>
            </w:r>
          </w:p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Customer earns tr</w:t>
            </w:r>
            <w:r w:rsidR="008B050E">
              <w:t>ade discount of $10,000 in 12/14</w:t>
            </w:r>
            <w:r>
              <w:t xml:space="preserve"> bu</w:t>
            </w:r>
            <w:r w:rsidR="008B050E">
              <w:t>t doesn’t receive it until 10/15</w:t>
            </w:r>
            <w:r>
              <w:t>.</w:t>
            </w:r>
          </w:p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CE1315" w:rsidTr="008B050E">
        <w:tc>
          <w:tcPr>
            <w:tcW w:w="3192" w:type="dxa"/>
            <w:shd w:val="clear" w:color="auto" w:fill="auto"/>
          </w:tcPr>
          <w:p w:rsidR="00CE1315" w:rsidRDefault="00CE1315" w:rsidP="00CE1315">
            <w:r>
              <w:t>Taxpayer sells $50,000 prepaid software maintenance contract covering 5 years on first day of tax year.</w:t>
            </w:r>
          </w:p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  <w:tc>
          <w:tcPr>
            <w:tcW w:w="3192" w:type="dxa"/>
            <w:shd w:val="clear" w:color="auto" w:fill="auto"/>
          </w:tcPr>
          <w:p w:rsidR="00CE1315" w:rsidRDefault="00CE1315" w:rsidP="00CE1315"/>
        </w:tc>
      </w:tr>
      <w:tr w:rsidR="00AD0373" w:rsidTr="008B050E">
        <w:tc>
          <w:tcPr>
            <w:tcW w:w="3192" w:type="dxa"/>
            <w:shd w:val="clear" w:color="auto" w:fill="auto"/>
          </w:tcPr>
          <w:p w:rsidR="00AD0373" w:rsidRDefault="00AD0373" w:rsidP="00CE1315">
            <w:r>
              <w:t>Owner of apartment building purchases 40 new refrigerators for 40 of the apartments; cost is $1,100 each.</w:t>
            </w:r>
          </w:p>
        </w:tc>
        <w:tc>
          <w:tcPr>
            <w:tcW w:w="3192" w:type="dxa"/>
            <w:shd w:val="clear" w:color="auto" w:fill="auto"/>
          </w:tcPr>
          <w:p w:rsidR="00AD0373" w:rsidRDefault="00AD0373" w:rsidP="00CE1315"/>
        </w:tc>
        <w:tc>
          <w:tcPr>
            <w:tcW w:w="3192" w:type="dxa"/>
            <w:shd w:val="clear" w:color="auto" w:fill="auto"/>
          </w:tcPr>
          <w:p w:rsidR="00AD0373" w:rsidRDefault="00AD0373" w:rsidP="00CE1315"/>
        </w:tc>
      </w:tr>
    </w:tbl>
    <w:p w:rsidR="00CE1315" w:rsidRDefault="00CE1315" w:rsidP="00AD0373"/>
    <w:sectPr w:rsidR="00CE1315" w:rsidSect="004362D3">
      <w:pgSz w:w="12240" w:h="15840" w:code="1"/>
      <w:pgMar w:top="1008" w:right="1440" w:bottom="1152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140DC"/>
    <w:multiLevelType w:val="hybridMultilevel"/>
    <w:tmpl w:val="1742B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/>
  <w:rsids>
    <w:rsidRoot w:val="004362D3"/>
    <w:rsid w:val="001864FC"/>
    <w:rsid w:val="004362D3"/>
    <w:rsid w:val="004724F6"/>
    <w:rsid w:val="008B050E"/>
    <w:rsid w:val="009B5F86"/>
    <w:rsid w:val="00AD0373"/>
    <w:rsid w:val="00C63E04"/>
    <w:rsid w:val="00CE1315"/>
    <w:rsid w:val="00E2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1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 223F – Accounting Periods &amp; Methods</vt:lpstr>
    </vt:vector>
  </TitlesOfParts>
  <Company>San Jose State University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223F – Accounting Periods &amp; Methods</dc:title>
  <dc:creator>Annette Nellen</dc:creator>
  <cp:lastModifiedBy>Catherine Dougherty</cp:lastModifiedBy>
  <cp:revision>2</cp:revision>
  <dcterms:created xsi:type="dcterms:W3CDTF">2016-04-11T15:58:00Z</dcterms:created>
  <dcterms:modified xsi:type="dcterms:W3CDTF">2016-04-11T15:58:00Z</dcterms:modified>
</cp:coreProperties>
</file>