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B8825" w14:textId="134A5188" w:rsidR="00BD1F83" w:rsidRPr="00ED5D7A" w:rsidRDefault="00085EA8">
      <w:pPr>
        <w:pStyle w:val="Heading1"/>
      </w:pPr>
      <w:r w:rsidRPr="00ED5D7A">
        <w:br/>
      </w:r>
      <w:r w:rsidR="00012905" w:rsidRPr="00ED5D7A">
        <w:t>Financial Reporting and Analysis I, BUS220</w:t>
      </w:r>
      <w:r w:rsidR="00556DFE">
        <w:t>B</w:t>
      </w:r>
      <w:r w:rsidR="00012905" w:rsidRPr="00ED5D7A">
        <w:t xml:space="preserve">, Section </w:t>
      </w:r>
      <w:r w:rsidR="00A82FBD">
        <w:t>1</w:t>
      </w:r>
    </w:p>
    <w:p w14:paraId="0862D5E7" w14:textId="519F2948" w:rsidR="00BD1F83" w:rsidRPr="00ED5D7A" w:rsidRDefault="00165665">
      <w:pPr>
        <w:pStyle w:val="Heading1"/>
      </w:pPr>
      <w:r>
        <w:t>Summer</w:t>
      </w:r>
      <w:r w:rsidR="00085EA8" w:rsidRPr="00ED5D7A">
        <w:t xml:space="preserve"> 202</w:t>
      </w:r>
      <w:r w:rsidR="00556DFE">
        <w:t>1</w:t>
      </w:r>
    </w:p>
    <w:p w14:paraId="52B4A61B" w14:textId="77777777" w:rsidR="00BD1F83" w:rsidRPr="00ED5D7A" w:rsidRDefault="00085EA8">
      <w:pPr>
        <w:pStyle w:val="Heading2"/>
      </w:pPr>
      <w:r w:rsidRPr="00ED5D7A">
        <w:t>Course and Contact Information</w:t>
      </w:r>
    </w:p>
    <w:tbl>
      <w:tblPr>
        <w:tblStyle w:val="a"/>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7650"/>
      </w:tblGrid>
      <w:tr w:rsidR="00012905" w:rsidRPr="00ED5D7A" w14:paraId="476F3E65" w14:textId="77777777">
        <w:trPr>
          <w:trHeight w:val="432"/>
        </w:trPr>
        <w:tc>
          <w:tcPr>
            <w:tcW w:w="3060" w:type="dxa"/>
          </w:tcPr>
          <w:p w14:paraId="77553392" w14:textId="77777777" w:rsidR="00012905" w:rsidRPr="00ED5D7A" w:rsidRDefault="00012905">
            <w:r w:rsidRPr="00ED5D7A">
              <w:t>Instructor:</w:t>
            </w:r>
          </w:p>
        </w:tc>
        <w:tc>
          <w:tcPr>
            <w:tcW w:w="7650" w:type="dxa"/>
          </w:tcPr>
          <w:p w14:paraId="1AA8591C" w14:textId="184F341B" w:rsidR="00012905" w:rsidRPr="00ED5D7A" w:rsidRDefault="00012905">
            <w:r w:rsidRPr="00ED5D7A">
              <w:t xml:space="preserve">Dr. </w:t>
            </w:r>
            <w:r w:rsidR="00556DFE">
              <w:t>Danielle Lazerson</w:t>
            </w:r>
          </w:p>
        </w:tc>
      </w:tr>
      <w:tr w:rsidR="00012905" w:rsidRPr="00ED5D7A" w14:paraId="64E4BAFB" w14:textId="77777777">
        <w:trPr>
          <w:trHeight w:val="432"/>
        </w:trPr>
        <w:tc>
          <w:tcPr>
            <w:tcW w:w="3060" w:type="dxa"/>
          </w:tcPr>
          <w:p w14:paraId="11B97D83" w14:textId="77777777" w:rsidR="00012905" w:rsidRPr="00ED5D7A" w:rsidRDefault="00012905">
            <w:r w:rsidRPr="00ED5D7A">
              <w:t>Office Location:</w:t>
            </w:r>
          </w:p>
        </w:tc>
        <w:tc>
          <w:tcPr>
            <w:tcW w:w="7650" w:type="dxa"/>
          </w:tcPr>
          <w:p w14:paraId="1410D5BF" w14:textId="1BE51E0C" w:rsidR="00012905" w:rsidRPr="00ED5D7A" w:rsidRDefault="00793562">
            <w:r>
              <w:t>BT 359 or Zoom</w:t>
            </w:r>
          </w:p>
        </w:tc>
      </w:tr>
      <w:tr w:rsidR="00012905" w:rsidRPr="00ED5D7A" w14:paraId="4FA22A2E" w14:textId="77777777">
        <w:trPr>
          <w:trHeight w:val="432"/>
        </w:trPr>
        <w:tc>
          <w:tcPr>
            <w:tcW w:w="3060" w:type="dxa"/>
          </w:tcPr>
          <w:p w14:paraId="35E60AAC" w14:textId="77777777" w:rsidR="00012905" w:rsidRPr="00ED5D7A" w:rsidRDefault="00012905">
            <w:r w:rsidRPr="00ED5D7A">
              <w:t>Telephone:</w:t>
            </w:r>
          </w:p>
        </w:tc>
        <w:tc>
          <w:tcPr>
            <w:tcW w:w="7650" w:type="dxa"/>
          </w:tcPr>
          <w:p w14:paraId="55343A01" w14:textId="5C734D56" w:rsidR="00012905" w:rsidRPr="00ED5D7A" w:rsidRDefault="00556DFE">
            <w:r>
              <w:t>N/A (please contact me via email)</w:t>
            </w:r>
          </w:p>
        </w:tc>
      </w:tr>
      <w:tr w:rsidR="00012905" w:rsidRPr="00ED5D7A" w14:paraId="12D07781" w14:textId="77777777">
        <w:trPr>
          <w:trHeight w:val="432"/>
        </w:trPr>
        <w:tc>
          <w:tcPr>
            <w:tcW w:w="3060" w:type="dxa"/>
          </w:tcPr>
          <w:p w14:paraId="1B38FD2E" w14:textId="77777777" w:rsidR="00012905" w:rsidRPr="00ED5D7A" w:rsidRDefault="00012905">
            <w:r w:rsidRPr="00ED5D7A">
              <w:t>Email:</w:t>
            </w:r>
          </w:p>
        </w:tc>
        <w:tc>
          <w:tcPr>
            <w:tcW w:w="7650" w:type="dxa"/>
          </w:tcPr>
          <w:p w14:paraId="745598B6" w14:textId="64B1EB60" w:rsidR="00012905" w:rsidRPr="00ED5D7A" w:rsidRDefault="001D7AF4">
            <w:hyperlink r:id="rId7" w:history="1">
              <w:r w:rsidR="00556DFE" w:rsidRPr="005640FE">
                <w:rPr>
                  <w:rStyle w:val="Hyperlink"/>
                </w:rPr>
                <w:t>Danielle.Lazerson@sjsu.edu</w:t>
              </w:r>
            </w:hyperlink>
          </w:p>
        </w:tc>
      </w:tr>
      <w:tr w:rsidR="00012905" w:rsidRPr="00ED5D7A" w14:paraId="606540C0" w14:textId="77777777">
        <w:trPr>
          <w:trHeight w:val="432"/>
        </w:trPr>
        <w:tc>
          <w:tcPr>
            <w:tcW w:w="3060" w:type="dxa"/>
          </w:tcPr>
          <w:p w14:paraId="62854D3A" w14:textId="77777777" w:rsidR="00012905" w:rsidRPr="00ED5D7A" w:rsidRDefault="00012905">
            <w:r w:rsidRPr="00ED5D7A">
              <w:t>Office Hours:</w:t>
            </w:r>
          </w:p>
        </w:tc>
        <w:tc>
          <w:tcPr>
            <w:tcW w:w="7650" w:type="dxa"/>
          </w:tcPr>
          <w:p w14:paraId="2EF0A135" w14:textId="3FEC6C3B" w:rsidR="00012905" w:rsidRPr="00ED5D7A" w:rsidRDefault="002144FE" w:rsidP="002144FE">
            <w:r>
              <w:t>Every class day</w:t>
            </w:r>
            <w:r w:rsidR="00012905" w:rsidRPr="00ED5D7A">
              <w:t xml:space="preserve"> </w:t>
            </w:r>
            <w:r>
              <w:t>1</w:t>
            </w:r>
            <w:r w:rsidR="00012905" w:rsidRPr="00ED5D7A">
              <w:t>:</w:t>
            </w:r>
            <w:r w:rsidR="007D4878">
              <w:t>00</w:t>
            </w:r>
            <w:r w:rsidR="00012905" w:rsidRPr="00ED5D7A">
              <w:t>-</w:t>
            </w:r>
            <w:r w:rsidR="003441D6">
              <w:t>2</w:t>
            </w:r>
            <w:r w:rsidR="00012905" w:rsidRPr="00ED5D7A">
              <w:t>:</w:t>
            </w:r>
            <w:r w:rsidR="007D4878">
              <w:t>0</w:t>
            </w:r>
            <w:r w:rsidR="00012905" w:rsidRPr="00ED5D7A">
              <w:t>0 PM</w:t>
            </w:r>
          </w:p>
        </w:tc>
      </w:tr>
      <w:tr w:rsidR="00012905" w:rsidRPr="00ED5D7A" w14:paraId="210BB033" w14:textId="77777777">
        <w:trPr>
          <w:trHeight w:val="432"/>
        </w:trPr>
        <w:tc>
          <w:tcPr>
            <w:tcW w:w="3060" w:type="dxa"/>
          </w:tcPr>
          <w:p w14:paraId="2771DF11" w14:textId="77777777" w:rsidR="00012905" w:rsidRPr="00ED5D7A" w:rsidRDefault="00012905">
            <w:r w:rsidRPr="00ED5D7A">
              <w:t>Class Days/Time:</w:t>
            </w:r>
          </w:p>
        </w:tc>
        <w:tc>
          <w:tcPr>
            <w:tcW w:w="7650" w:type="dxa"/>
          </w:tcPr>
          <w:p w14:paraId="5687566E" w14:textId="09C24CF9" w:rsidR="00012905" w:rsidRPr="00ED5D7A" w:rsidRDefault="00556DFE">
            <w:r>
              <w:t>M/T/</w:t>
            </w:r>
            <w:r w:rsidR="00793562">
              <w:t>W/</w:t>
            </w:r>
            <w:r>
              <w:t>TH/F</w:t>
            </w:r>
            <w:r w:rsidR="002144FE">
              <w:t xml:space="preserve"> 9</w:t>
            </w:r>
            <w:r>
              <w:t>am</w:t>
            </w:r>
            <w:r w:rsidR="002144FE">
              <w:t xml:space="preserve"> – </w:t>
            </w:r>
            <w:r>
              <w:t>1pm</w:t>
            </w:r>
          </w:p>
        </w:tc>
      </w:tr>
      <w:tr w:rsidR="00012905" w:rsidRPr="00ED5D7A" w14:paraId="56D10374" w14:textId="77777777">
        <w:trPr>
          <w:trHeight w:val="432"/>
        </w:trPr>
        <w:tc>
          <w:tcPr>
            <w:tcW w:w="3060" w:type="dxa"/>
          </w:tcPr>
          <w:p w14:paraId="58736021" w14:textId="77777777" w:rsidR="00012905" w:rsidRPr="00ED5D7A" w:rsidRDefault="00012905">
            <w:r w:rsidRPr="00ED5D7A">
              <w:t>Classroom:</w:t>
            </w:r>
          </w:p>
        </w:tc>
        <w:tc>
          <w:tcPr>
            <w:tcW w:w="7650" w:type="dxa"/>
          </w:tcPr>
          <w:p w14:paraId="5D3BB664" w14:textId="47DAC009" w:rsidR="00012905" w:rsidRPr="00ED5D7A" w:rsidRDefault="00793562">
            <w:r>
              <w:t>Hybrid -- Online via Zoom or BBC 106</w:t>
            </w:r>
          </w:p>
        </w:tc>
      </w:tr>
      <w:tr w:rsidR="00012905" w:rsidRPr="00ED5D7A" w14:paraId="2B4481CE" w14:textId="77777777">
        <w:trPr>
          <w:trHeight w:val="432"/>
        </w:trPr>
        <w:tc>
          <w:tcPr>
            <w:tcW w:w="3060" w:type="dxa"/>
          </w:tcPr>
          <w:p w14:paraId="2B7E4CE9" w14:textId="77777777" w:rsidR="00012905" w:rsidRPr="00ED5D7A" w:rsidRDefault="00012905">
            <w:r w:rsidRPr="00ED5D7A">
              <w:t>Prerequisites:</w:t>
            </w:r>
          </w:p>
        </w:tc>
        <w:tc>
          <w:tcPr>
            <w:tcW w:w="7650" w:type="dxa"/>
          </w:tcPr>
          <w:p w14:paraId="27596355" w14:textId="24037904" w:rsidR="00012905" w:rsidRPr="00ED5D7A" w:rsidRDefault="00B7107F">
            <w:r>
              <w:t>Enrollment in the Masters of Science in Accountancy program or the Certificate of Accounting Fundamentals</w:t>
            </w:r>
          </w:p>
        </w:tc>
      </w:tr>
    </w:tbl>
    <w:p w14:paraId="0AF258A7" w14:textId="5DC04005" w:rsidR="001E4EB9" w:rsidRPr="00ED5D7A" w:rsidRDefault="00ED5D7A" w:rsidP="00826781">
      <w:pPr>
        <w:pStyle w:val="Heading2"/>
      </w:pPr>
      <w:r w:rsidRPr="00ED5D7A">
        <w:t>Course Description</w:t>
      </w:r>
    </w:p>
    <w:p w14:paraId="41D4E5BA" w14:textId="6C0B4061" w:rsidR="00BD1F83" w:rsidRPr="00ED5D7A" w:rsidRDefault="00ED5D7A">
      <w:r w:rsidRPr="00ED5D7A">
        <w:rPr>
          <w:sz w:val="22"/>
          <w:szCs w:val="14"/>
        </w:rPr>
        <w:t>Principles, controls, and theory of accounting for liabilities and equities; preparation, utilization, and analysis of cash flow and fund statements; financial ratios and statistical analysis of financial statements accounting data.</w:t>
      </w:r>
    </w:p>
    <w:p w14:paraId="1F7DF01B" w14:textId="5689D6BA" w:rsidR="00BD1F83" w:rsidRPr="00ED5D7A" w:rsidRDefault="00060875">
      <w:pPr>
        <w:pStyle w:val="Heading3"/>
      </w:pPr>
      <w:r>
        <w:t>Program</w:t>
      </w:r>
      <w:r w:rsidR="00C750C1">
        <w:t xml:space="preserve"> Learning Outcomes (CLO)</w:t>
      </w:r>
    </w:p>
    <w:p w14:paraId="3B9464D3" w14:textId="5A919EB0" w:rsidR="00ED5D7A" w:rsidRPr="00ED5D7A" w:rsidRDefault="00ED5D7A" w:rsidP="00837056">
      <w:r w:rsidRPr="00ED5D7A">
        <w:rPr>
          <w:b/>
        </w:rPr>
        <w:t xml:space="preserve">Goal One: </w:t>
      </w:r>
      <w:r w:rsidRPr="00ED5D7A">
        <w:t xml:space="preserve">Accounting Concepts </w:t>
      </w:r>
    </w:p>
    <w:p w14:paraId="46ECD555" w14:textId="77777777" w:rsidR="00ED5D7A" w:rsidRPr="00ED5D7A" w:rsidRDefault="00ED5D7A" w:rsidP="00837056">
      <w:r w:rsidRPr="00ED5D7A">
        <w:t xml:space="preserve">To understand and apply accounting processes and principles in the preparation and interpretation of financial reports within the context of a complex business environment. </w:t>
      </w:r>
    </w:p>
    <w:p w14:paraId="7DC2AFF7" w14:textId="77777777" w:rsidR="00ED5D7A" w:rsidRPr="00ED5D7A" w:rsidRDefault="00ED5D7A" w:rsidP="00837056"/>
    <w:p w14:paraId="4802EDCC" w14:textId="77777777" w:rsidR="00ED5D7A" w:rsidRPr="00ED5D7A" w:rsidRDefault="00ED5D7A" w:rsidP="00837056">
      <w:pPr>
        <w:rPr>
          <w:b/>
        </w:rPr>
      </w:pPr>
      <w:r w:rsidRPr="00ED5D7A">
        <w:rPr>
          <w:b/>
        </w:rPr>
        <w:t xml:space="preserve">Goal Two: </w:t>
      </w:r>
      <w:r w:rsidRPr="00ED5D7A">
        <w:t>Technology and Internal Controls</w:t>
      </w:r>
      <w:r w:rsidRPr="00ED5D7A">
        <w:rPr>
          <w:b/>
        </w:rPr>
        <w:t xml:space="preserve"> </w:t>
      </w:r>
    </w:p>
    <w:p w14:paraId="3196A1FD" w14:textId="336979EF" w:rsidR="00ED5D7A" w:rsidRPr="00ED5D7A" w:rsidRDefault="00ED5D7A" w:rsidP="00837056">
      <w:r w:rsidRPr="00ED5D7A">
        <w:t xml:space="preserve">To understand information technology and internal control processes and their role in financial and managerial reporting. </w:t>
      </w:r>
    </w:p>
    <w:p w14:paraId="25730010" w14:textId="77777777" w:rsidR="00ED5D7A" w:rsidRPr="00ED5D7A" w:rsidRDefault="00ED5D7A" w:rsidP="00837056"/>
    <w:p w14:paraId="7AD1391A" w14:textId="77777777" w:rsidR="00ED5D7A" w:rsidRPr="00ED5D7A" w:rsidRDefault="00ED5D7A" w:rsidP="00837056">
      <w:r w:rsidRPr="00ED5D7A">
        <w:rPr>
          <w:b/>
        </w:rPr>
        <w:t xml:space="preserve">Goal Three: </w:t>
      </w:r>
      <w:r w:rsidRPr="00ED5D7A">
        <w:t xml:space="preserve">Conceptual and Analytical Skills </w:t>
      </w:r>
    </w:p>
    <w:p w14:paraId="4788A49D" w14:textId="77777777" w:rsidR="00ED5D7A" w:rsidRPr="00ED5D7A" w:rsidRDefault="00ED5D7A" w:rsidP="00837056">
      <w:r w:rsidRPr="00ED5D7A">
        <w:t xml:space="preserve">To develop conceptual and analytical skills with real world applications. </w:t>
      </w:r>
    </w:p>
    <w:p w14:paraId="009D1674" w14:textId="77777777" w:rsidR="00ED5D7A" w:rsidRPr="00ED5D7A" w:rsidRDefault="00ED5D7A" w:rsidP="00837056"/>
    <w:p w14:paraId="601FF2C6" w14:textId="77777777" w:rsidR="00ED5D7A" w:rsidRPr="00ED5D7A" w:rsidRDefault="00ED5D7A" w:rsidP="00837056">
      <w:r w:rsidRPr="00ED5D7A">
        <w:rPr>
          <w:b/>
        </w:rPr>
        <w:t xml:space="preserve">Goal Four: </w:t>
      </w:r>
      <w:r w:rsidRPr="00ED5D7A">
        <w:t>Oral and Written Communication</w:t>
      </w:r>
      <w:r w:rsidRPr="00ED5D7A">
        <w:rPr>
          <w:b/>
        </w:rPr>
        <w:t xml:space="preserve"> </w:t>
      </w:r>
    </w:p>
    <w:p w14:paraId="44B18AAB" w14:textId="77777777" w:rsidR="00ED5D7A" w:rsidRPr="00ED5D7A" w:rsidRDefault="00ED5D7A" w:rsidP="00837056">
      <w:r w:rsidRPr="00ED5D7A">
        <w:t xml:space="preserve">To learn effective oral and written communication skills in a context of conducting research and to learn effective leadership skills. </w:t>
      </w:r>
    </w:p>
    <w:p w14:paraId="2F919F68" w14:textId="77777777" w:rsidR="00ED5D7A" w:rsidRPr="00ED5D7A" w:rsidRDefault="00ED5D7A" w:rsidP="00837056"/>
    <w:p w14:paraId="563B7DB2" w14:textId="2ECB5F56" w:rsidR="00ED5D7A" w:rsidRPr="00ED5D7A" w:rsidRDefault="00ED5D7A" w:rsidP="00837056">
      <w:r w:rsidRPr="00ED5D7A">
        <w:rPr>
          <w:b/>
        </w:rPr>
        <w:t xml:space="preserve">Goal Five: </w:t>
      </w:r>
      <w:r w:rsidRPr="00ED5D7A">
        <w:t xml:space="preserve">Ethical Implications of Accounting Practice </w:t>
      </w:r>
      <w:r w:rsidRPr="00ED5D7A">
        <w:tab/>
      </w:r>
    </w:p>
    <w:p w14:paraId="1F81B296" w14:textId="43520336" w:rsidR="00ED5D7A" w:rsidRPr="00ED5D7A" w:rsidRDefault="00ED5D7A" w:rsidP="00837056">
      <w:pPr>
        <w:rPr>
          <w:szCs w:val="23"/>
        </w:rPr>
      </w:pPr>
      <w:r w:rsidRPr="00ED5D7A">
        <w:rPr>
          <w:szCs w:val="23"/>
        </w:rPr>
        <w:t xml:space="preserve">To understand the legal and ethical implications of accounting practice perspectives as well as the need to address legal discourse and the particulars of legal requirements, restraints, and uncertainty. </w:t>
      </w:r>
    </w:p>
    <w:p w14:paraId="51AEFA4D" w14:textId="2EEF5638" w:rsidR="00ED5D7A" w:rsidRPr="00ED5D7A" w:rsidRDefault="00ED5D7A" w:rsidP="00ED5D7A">
      <w:pPr>
        <w:pStyle w:val="Heading3"/>
      </w:pPr>
      <w:r>
        <w:lastRenderedPageBreak/>
        <w:t>Course Learning Outcomes (CLO)</w:t>
      </w:r>
    </w:p>
    <w:p w14:paraId="466CEDE5" w14:textId="64EB6ADC" w:rsidR="00ED5D7A" w:rsidRDefault="00ED5D7A" w:rsidP="00ED5D7A">
      <w:pPr>
        <w:pStyle w:val="BodyText"/>
        <w:numPr>
          <w:ilvl w:val="0"/>
          <w:numId w:val="3"/>
        </w:numPr>
      </w:pPr>
      <w:r w:rsidRPr="009B179E">
        <w:t>CLO 1 Demonstrate an understanding of the current financial accounting and reporting standards for long-term liabilities, leases, taxes, shareholders’ equity, and their impact on the financial statements (</w:t>
      </w:r>
      <w:r>
        <w:t>MSA</w:t>
      </w:r>
      <w:r w:rsidRPr="009B179E">
        <w:t xml:space="preserve"> Learning Goal 1)</w:t>
      </w:r>
      <w:r>
        <w:t>.</w:t>
      </w:r>
    </w:p>
    <w:p w14:paraId="5BEF3C76" w14:textId="6458B0A1" w:rsidR="00ED5D7A" w:rsidRPr="009B179E" w:rsidRDefault="00ED5D7A" w:rsidP="00ED5D7A">
      <w:pPr>
        <w:pStyle w:val="BodyText"/>
        <w:numPr>
          <w:ilvl w:val="0"/>
          <w:numId w:val="3"/>
        </w:numPr>
      </w:pPr>
      <w:r>
        <w:t>CLO 2 Demonstrate an understanding of how to calculate and use metrics derived from the income statement and the statement of cash flows (MSA</w:t>
      </w:r>
      <w:r w:rsidRPr="009B179E">
        <w:t xml:space="preserve"> </w:t>
      </w:r>
      <w:r>
        <w:t>Learning Goals 1, 3).</w:t>
      </w:r>
    </w:p>
    <w:p w14:paraId="03EF65A5" w14:textId="66F4D1E0" w:rsidR="00ED5D7A" w:rsidRPr="009B179E" w:rsidRDefault="00ED5D7A" w:rsidP="00ED5D7A">
      <w:pPr>
        <w:pStyle w:val="BodyText"/>
        <w:numPr>
          <w:ilvl w:val="0"/>
          <w:numId w:val="3"/>
        </w:numPr>
      </w:pPr>
      <w:r w:rsidRPr="009B179E">
        <w:t xml:space="preserve">CLO </w:t>
      </w:r>
      <w:r>
        <w:t>3</w:t>
      </w:r>
      <w:r w:rsidRPr="009B179E">
        <w:t xml:space="preserve"> Prepare reports, in </w:t>
      </w:r>
      <w:r>
        <w:t>team setting,</w:t>
      </w:r>
      <w:r w:rsidRPr="009B179E">
        <w:t xml:space="preserve"> which analyze and interpret current financial accounting standards </w:t>
      </w:r>
      <w:r>
        <w:t>citing</w:t>
      </w:r>
      <w:r w:rsidRPr="009B179E">
        <w:t xml:space="preserve"> the Accounting Standards Codification (</w:t>
      </w:r>
      <w:r>
        <w:t>MSA</w:t>
      </w:r>
      <w:r w:rsidRPr="009B179E">
        <w:t xml:space="preserve"> Program Learning Goals 1, </w:t>
      </w:r>
      <w:r>
        <w:t>3</w:t>
      </w:r>
      <w:r w:rsidRPr="009B179E">
        <w:t xml:space="preserve">, </w:t>
      </w:r>
      <w:r>
        <w:t xml:space="preserve">and </w:t>
      </w:r>
      <w:r w:rsidRPr="009B179E">
        <w:t>4).</w:t>
      </w:r>
    </w:p>
    <w:p w14:paraId="121B1834" w14:textId="5EF932AD" w:rsidR="00ED5D7A" w:rsidRDefault="00ED5D7A" w:rsidP="00ED5D7A">
      <w:pPr>
        <w:pStyle w:val="BodyText"/>
        <w:numPr>
          <w:ilvl w:val="0"/>
          <w:numId w:val="3"/>
        </w:numPr>
      </w:pPr>
      <w:r w:rsidRPr="009B179E">
        <w:t xml:space="preserve">CLO </w:t>
      </w:r>
      <w:r>
        <w:t>4</w:t>
      </w:r>
      <w:r w:rsidRPr="009B179E">
        <w:t xml:space="preserve"> Examine and analyze ethically challenging situations and work with others to communicate a response which reflects ethical awareness and the impact of actions on a variety of stakeholders. (</w:t>
      </w:r>
      <w:r>
        <w:t>MSA</w:t>
      </w:r>
      <w:r w:rsidRPr="009B179E">
        <w:t xml:space="preserve"> </w:t>
      </w:r>
      <w:r>
        <w:t xml:space="preserve">Learning Goals </w:t>
      </w:r>
      <w:r w:rsidRPr="009B179E">
        <w:t>4, 5).</w:t>
      </w:r>
    </w:p>
    <w:p w14:paraId="347C2B47" w14:textId="69DF24E2" w:rsidR="00ED5D7A" w:rsidRPr="009B179E" w:rsidRDefault="00ED5D7A" w:rsidP="00ED5D7A">
      <w:pPr>
        <w:pStyle w:val="BodyText"/>
        <w:numPr>
          <w:ilvl w:val="0"/>
          <w:numId w:val="3"/>
        </w:numPr>
      </w:pPr>
      <w:r>
        <w:t>CLO 5 Visualize, analyze, and interpret data in order to make informed business and accounting decisions (MSA</w:t>
      </w:r>
      <w:r w:rsidRPr="009B179E">
        <w:t xml:space="preserve"> </w:t>
      </w:r>
      <w:r>
        <w:t xml:space="preserve">Learning Goals 2, 3). </w:t>
      </w:r>
    </w:p>
    <w:p w14:paraId="50D0DD77" w14:textId="7F802E9F" w:rsidR="00BD1F83" w:rsidRPr="00ED5D7A" w:rsidRDefault="00085EA8" w:rsidP="00ED5D7A">
      <w:pPr>
        <w:pStyle w:val="Heading2"/>
      </w:pPr>
      <w:r w:rsidRPr="00ED5D7A">
        <w:t>Facult</w:t>
      </w:r>
      <w:r w:rsidR="005340DA">
        <w:t>y Web Page and MYSJSU Messaging</w:t>
      </w:r>
    </w:p>
    <w:bookmarkStart w:id="0" w:name="_gjdgxs" w:colFirst="0" w:colLast="0"/>
    <w:bookmarkEnd w:id="0"/>
    <w:p w14:paraId="0C4D281D" w14:textId="14184329" w:rsidR="00BD1F83" w:rsidRPr="00ED5D7A" w:rsidRDefault="00940D75" w:rsidP="00940D75">
      <w:r>
        <w:fldChar w:fldCharType="begin"/>
      </w:r>
      <w:r>
        <w:instrText xml:space="preserve"> HYPERLINK "about:blank" </w:instrText>
      </w:r>
      <w:r>
        <w:fldChar w:fldCharType="separate"/>
      </w:r>
      <w:r w:rsidRPr="00026F4A">
        <w:rPr>
          <w:rStyle w:val="Hyperlink"/>
        </w:rPr>
        <w:t>Canvas Learning Management System course website</w:t>
      </w:r>
      <w:r>
        <w:rPr>
          <w:rStyle w:val="Hyperlink"/>
        </w:rPr>
        <w:fldChar w:fldCharType="end"/>
      </w:r>
      <w:r>
        <w:t xml:space="preserve"> found at </w:t>
      </w:r>
      <w:r w:rsidRPr="007A43AF">
        <w:t>http://sjsu.instructure.com</w:t>
      </w:r>
      <w:r w:rsidRPr="00310987">
        <w:t xml:space="preserve">. You are responsible for regularly checking with the messaging system through </w:t>
      </w:r>
      <w:hyperlink r:id="rId8" w:history="1">
        <w:r w:rsidRPr="00FC5046">
          <w:rPr>
            <w:rStyle w:val="Hyperlink"/>
          </w:rPr>
          <w:t>MySJSU</w:t>
        </w:r>
      </w:hyperlink>
      <w:r w:rsidRPr="00310987">
        <w:t xml:space="preserve"> (or other communication system as indicated by the instructor) </w:t>
      </w:r>
      <w:r>
        <w:t xml:space="preserve">at http://my.sjsu.edu </w:t>
      </w:r>
      <w:r w:rsidRPr="00310987">
        <w:t xml:space="preserve">to learn of any updates. </w:t>
      </w:r>
      <w:r w:rsidR="00085EA8" w:rsidRPr="00ED5D7A">
        <w:t xml:space="preserve">Course Format </w:t>
      </w:r>
    </w:p>
    <w:p w14:paraId="07088F38" w14:textId="5E017FC7" w:rsidR="00BD1F83" w:rsidRPr="00ED5D7A" w:rsidRDefault="00085EA8">
      <w:pPr>
        <w:pStyle w:val="Heading3"/>
      </w:pPr>
      <w:r w:rsidRPr="00ED5D7A">
        <w:t>Technology Intensive, Hybrid, and Online Courses</w:t>
      </w:r>
    </w:p>
    <w:p w14:paraId="738F6266" w14:textId="4A9FDAA3" w:rsidR="00BD1F83" w:rsidRPr="00940D75" w:rsidRDefault="00940D75">
      <w:r>
        <w:t xml:space="preserve">This is an online course due to the restrictions put on campus due to the impact of the novel coronavirus and the related health issues termed COVID-19.  Normally this would be an in-person class, but given the restrictions, it will take place entirely online instead.  </w:t>
      </w:r>
      <w:r w:rsidR="00837056">
        <w:t xml:space="preserve">Because of this, you will need access to a computer, a reliable internet connection, a webcam and a microphone for both use during class and for use during testing, when deemed suitable by me.    </w:t>
      </w:r>
    </w:p>
    <w:p w14:paraId="5B9732EE" w14:textId="77777777" w:rsidR="00BD1F83" w:rsidRPr="00ED5D7A" w:rsidRDefault="00085EA8">
      <w:pPr>
        <w:pStyle w:val="Heading2"/>
      </w:pPr>
      <w:r w:rsidRPr="00ED5D7A">
        <w:t xml:space="preserve">Required Texts/Readings </w:t>
      </w:r>
    </w:p>
    <w:p w14:paraId="5289BAD0" w14:textId="77777777" w:rsidR="00BD1F83" w:rsidRPr="00ED5D7A" w:rsidRDefault="00085EA8">
      <w:pPr>
        <w:pStyle w:val="Heading3"/>
      </w:pPr>
      <w:r w:rsidRPr="00ED5D7A">
        <w:t>Textbook</w:t>
      </w:r>
    </w:p>
    <w:p w14:paraId="57F4EDE9" w14:textId="77777777" w:rsidR="00837056" w:rsidRPr="009A22E3" w:rsidRDefault="00837056" w:rsidP="00837056">
      <w:pPr>
        <w:rPr>
          <w:color w:val="000000"/>
        </w:rPr>
      </w:pPr>
      <w:bookmarkStart w:id="1" w:name="OLE_LINK1"/>
      <w:bookmarkStart w:id="2" w:name="OLE_LINK2"/>
      <w:bookmarkStart w:id="3" w:name="OLE_LINK3"/>
      <w:r>
        <w:t>Spiceland,</w:t>
      </w:r>
      <w:r w:rsidRPr="009A22E3">
        <w:t xml:space="preserve"> Nelson, and Thomas. </w:t>
      </w:r>
      <w:r w:rsidRPr="009A22E3">
        <w:rPr>
          <w:b/>
        </w:rPr>
        <w:t xml:space="preserve">Intermediate Accounting, </w:t>
      </w:r>
      <w:r>
        <w:rPr>
          <w:b/>
        </w:rPr>
        <w:t>10</w:t>
      </w:r>
      <w:r w:rsidRPr="009A22E3">
        <w:rPr>
          <w:b/>
          <w:vertAlign w:val="superscript"/>
        </w:rPr>
        <w:t>th</w:t>
      </w:r>
      <w:r w:rsidRPr="009A22E3">
        <w:rPr>
          <w:b/>
        </w:rPr>
        <w:t xml:space="preserve"> Edition</w:t>
      </w:r>
      <w:r w:rsidRPr="009A22E3">
        <w:t xml:space="preserve">.  McGraw-Hill Irwin: New York, NY.  ISBN: </w:t>
      </w:r>
      <w:r>
        <w:t>9781264044887</w:t>
      </w:r>
    </w:p>
    <w:bookmarkEnd w:id="1"/>
    <w:p w14:paraId="6A57FB3A" w14:textId="77777777" w:rsidR="00837056" w:rsidRDefault="00837056" w:rsidP="00837056"/>
    <w:p w14:paraId="4C4DDC60" w14:textId="220A924E" w:rsidR="00837056" w:rsidRPr="005B79AA" w:rsidRDefault="00837056" w:rsidP="00837056">
      <w:r>
        <w:t xml:space="preserve">This is a special edition and special low price for </w:t>
      </w:r>
      <w:r w:rsidR="007223DF">
        <w:t>BUS220B/E</w:t>
      </w:r>
      <w:r>
        <w:t xml:space="preserve"> at San Jose State University and may be purchased at the Spartan Bookstore. This is the same textbook you should have used for </w:t>
      </w:r>
      <w:r w:rsidR="007223DF">
        <w:t>BUS220B</w:t>
      </w:r>
      <w:r>
        <w:t xml:space="preserve">.  You should be able to use the same Access Code you used for </w:t>
      </w:r>
      <w:r w:rsidR="007223DF">
        <w:t xml:space="preserve">BUS220B </w:t>
      </w:r>
      <w:r>
        <w:t>to access Connect</w:t>
      </w:r>
      <w:r w:rsidR="0099257C">
        <w:t>.</w:t>
      </w:r>
    </w:p>
    <w:bookmarkEnd w:id="2"/>
    <w:bookmarkEnd w:id="3"/>
    <w:p w14:paraId="1F83F41B" w14:textId="77777777" w:rsidR="0036608D" w:rsidRPr="00B23C26" w:rsidRDefault="0036608D" w:rsidP="0036608D">
      <w:pPr>
        <w:pStyle w:val="Heading3"/>
      </w:pPr>
      <w:r w:rsidRPr="00B23C26">
        <w:t>Other Readings</w:t>
      </w:r>
    </w:p>
    <w:p w14:paraId="24386B74" w14:textId="77777777" w:rsidR="0036608D" w:rsidRDefault="0036608D" w:rsidP="0036608D">
      <w:r>
        <w:t>Additional readings such as scholarly journal or popular press articles may be distributed as the semester progresses.  If I choose to use such readings, I will announce their availability on Canvas in class or by e-mail at least one week prior to when we will discuss the related content in class.</w:t>
      </w:r>
    </w:p>
    <w:p w14:paraId="237F0B19" w14:textId="77777777" w:rsidR="0036608D" w:rsidRPr="00310987" w:rsidRDefault="0036608D" w:rsidP="0036608D">
      <w:pPr>
        <w:pStyle w:val="Heading3"/>
      </w:pPr>
      <w:r>
        <w:t>Necessary Equipment/Software Requirements</w:t>
      </w:r>
    </w:p>
    <w:p w14:paraId="5BD97C45" w14:textId="77777777" w:rsidR="0036608D" w:rsidRDefault="0036608D" w:rsidP="0036608D">
      <w:r>
        <w:t xml:space="preserve">We will use the McGraw-Hill Connect Software.  Purchase of a new textbook through the Spartan Bookstore comes bundled with an access code to connect.  Otherwise, you may purchase an access code directly through </w:t>
      </w:r>
      <w:r>
        <w:lastRenderedPageBreak/>
        <w:t>the Connect website.  You can access McGraw-Hill’s Connect software directly through Canvas, by clicking the ‘McGraw-Hill Connect’ tab in your navigation menu.</w:t>
      </w:r>
    </w:p>
    <w:p w14:paraId="41815A21" w14:textId="77777777" w:rsidR="0036608D" w:rsidRDefault="0036608D" w:rsidP="0036608D"/>
    <w:p w14:paraId="1A6B6F85" w14:textId="77777777" w:rsidR="0036608D" w:rsidRDefault="0036608D" w:rsidP="0036608D">
      <w:r>
        <w:t xml:space="preserve">Connect offers a </w:t>
      </w:r>
      <w:proofErr w:type="gramStart"/>
      <w:r>
        <w:t>two week</w:t>
      </w:r>
      <w:proofErr w:type="gramEnd"/>
      <w:r>
        <w:t xml:space="preserve"> free trial period before you must either use an access code (such as what is provided with the new textbook purchased through the bookstore) or purchase access directly through McGraw-Hill.  </w:t>
      </w:r>
    </w:p>
    <w:p w14:paraId="26A1F864" w14:textId="77777777" w:rsidR="0036608D" w:rsidRDefault="0036608D" w:rsidP="0036608D"/>
    <w:p w14:paraId="11373473" w14:textId="5E1796F7" w:rsidR="0036608D" w:rsidRPr="00536994" w:rsidRDefault="0036608D" w:rsidP="0036608D">
      <w:pPr>
        <w:pStyle w:val="Default"/>
        <w:rPr>
          <w:color w:val="auto"/>
        </w:rPr>
      </w:pPr>
      <w:r w:rsidRPr="009A0987">
        <w:rPr>
          <w:color w:val="auto"/>
        </w:rPr>
        <w:t xml:space="preserve">If you have any problems regarding </w:t>
      </w:r>
      <w:r w:rsidRPr="009A0987">
        <w:rPr>
          <w:b/>
          <w:bCs/>
          <w:i/>
          <w:iCs/>
          <w:color w:val="auto"/>
        </w:rPr>
        <w:t xml:space="preserve">Connect Accounting </w:t>
      </w:r>
      <w:r w:rsidRPr="009A0987">
        <w:rPr>
          <w:color w:val="auto"/>
        </w:rPr>
        <w:t xml:space="preserve">please direct your questions to McGraw-Hill’s Customer Experience Group Support Center either by visiting their website at: </w:t>
      </w:r>
      <w:hyperlink r:id="rId9" w:history="1">
        <w:r w:rsidRPr="0070155D">
          <w:rPr>
            <w:rStyle w:val="Hyperlink"/>
          </w:rPr>
          <w:t>http://mpss.mhhe.com/contact.php</w:t>
        </w:r>
      </w:hyperlink>
      <w:r>
        <w:rPr>
          <w:color w:val="auto"/>
        </w:rPr>
        <w:t xml:space="preserve"> </w:t>
      </w:r>
      <w:r w:rsidRPr="009A0987">
        <w:rPr>
          <w:color w:val="auto"/>
        </w:rPr>
        <w:t>or by calling them at 800-331-5094. If you contact McGraw-</w:t>
      </w:r>
      <w:r>
        <w:rPr>
          <w:color w:val="auto"/>
        </w:rPr>
        <w:t xml:space="preserve">Hill with a problem please write </w:t>
      </w:r>
      <w:r w:rsidRPr="009A0987">
        <w:rPr>
          <w:color w:val="auto"/>
        </w:rPr>
        <w:t xml:space="preserve">down the </w:t>
      </w:r>
      <w:r>
        <w:rPr>
          <w:color w:val="auto"/>
        </w:rPr>
        <w:t>case number they give you in case you need to reference it in the future.</w:t>
      </w:r>
      <w:bookmarkStart w:id="4" w:name="OLE_LINK9"/>
      <w:r>
        <w:rPr>
          <w:bCs/>
          <w:szCs w:val="22"/>
        </w:rPr>
        <w:t xml:space="preserve">  </w:t>
      </w:r>
      <w:bookmarkEnd w:id="4"/>
    </w:p>
    <w:p w14:paraId="19E481ED" w14:textId="211B026D" w:rsidR="005251D5" w:rsidRPr="00ED5D7A" w:rsidRDefault="005251D5" w:rsidP="005251D5">
      <w:pPr>
        <w:pStyle w:val="Heading2"/>
      </w:pPr>
      <w:r w:rsidRPr="00ED5D7A">
        <w:t xml:space="preserve">Library </w:t>
      </w:r>
      <w:r w:rsidR="00837056">
        <w:t>Liaison for College of Business</w:t>
      </w:r>
    </w:p>
    <w:p w14:paraId="4F01FA19" w14:textId="22757994" w:rsidR="005251D5" w:rsidRPr="00ED5D7A" w:rsidRDefault="005251D5">
      <w:r w:rsidRPr="00ED5D7A">
        <w:t>Christa Bailey, Ph: 408-808-2422. Email: christa.bailey@sjsu.edu</w:t>
      </w:r>
    </w:p>
    <w:p w14:paraId="62E9152E" w14:textId="07C39C31" w:rsidR="00BD1F83" w:rsidRPr="00ED5D7A" w:rsidRDefault="00085EA8">
      <w:pPr>
        <w:pStyle w:val="Heading2"/>
      </w:pPr>
      <w:r w:rsidRPr="00ED5D7A">
        <w:t>Cour</w:t>
      </w:r>
      <w:r w:rsidR="00F96AE6">
        <w:t>se Requirements and Assignments</w:t>
      </w:r>
    </w:p>
    <w:p w14:paraId="4A4350AA" w14:textId="77777777" w:rsidR="00365430" w:rsidRDefault="00365430" w:rsidP="00365430">
      <w:pPr>
        <w:pStyle w:val="Heading2"/>
      </w:pPr>
      <w:r>
        <w:t xml:space="preserve">Examinations </w:t>
      </w:r>
    </w:p>
    <w:p w14:paraId="60762A48" w14:textId="77777777" w:rsidR="005F39C4" w:rsidRDefault="00365430" w:rsidP="005F39C4">
      <w:pPr>
        <w:pStyle w:val="Default"/>
        <w:rPr>
          <w:sz w:val="23"/>
          <w:szCs w:val="23"/>
        </w:rPr>
      </w:pPr>
      <w:r>
        <w:rPr>
          <w:sz w:val="23"/>
          <w:szCs w:val="23"/>
        </w:rPr>
        <w:t>There will be two examinations (one midterm, one final) administe</w:t>
      </w:r>
      <w:r w:rsidR="005F39C4">
        <w:rPr>
          <w:sz w:val="23"/>
          <w:szCs w:val="23"/>
        </w:rPr>
        <w:t xml:space="preserve">red during regular class time. </w:t>
      </w:r>
    </w:p>
    <w:p w14:paraId="5BCF8107" w14:textId="77777777" w:rsidR="00081201" w:rsidRDefault="00081201" w:rsidP="005F39C4">
      <w:pPr>
        <w:pStyle w:val="Default"/>
        <w:rPr>
          <w:sz w:val="23"/>
          <w:szCs w:val="23"/>
        </w:rPr>
      </w:pPr>
    </w:p>
    <w:p w14:paraId="46354A55" w14:textId="32116393" w:rsidR="005F39C4" w:rsidRPr="005F39C4" w:rsidRDefault="00081201" w:rsidP="005F39C4">
      <w:pPr>
        <w:pStyle w:val="Default"/>
        <w:numPr>
          <w:ilvl w:val="0"/>
          <w:numId w:val="4"/>
        </w:numPr>
        <w:spacing w:after="120"/>
        <w:rPr>
          <w:sz w:val="23"/>
          <w:szCs w:val="23"/>
        </w:rPr>
      </w:pPr>
      <w:r>
        <w:rPr>
          <w:sz w:val="23"/>
          <w:szCs w:val="23"/>
        </w:rPr>
        <w:t xml:space="preserve">The examinations will be administered </w:t>
      </w:r>
      <w:r w:rsidR="00793562">
        <w:rPr>
          <w:sz w:val="23"/>
          <w:szCs w:val="23"/>
        </w:rPr>
        <w:t xml:space="preserve">in person. </w:t>
      </w:r>
    </w:p>
    <w:p w14:paraId="7B651ED6" w14:textId="4A077BCA" w:rsidR="00365430" w:rsidRDefault="00365430" w:rsidP="005F39C4">
      <w:pPr>
        <w:pStyle w:val="Default"/>
        <w:numPr>
          <w:ilvl w:val="0"/>
          <w:numId w:val="4"/>
        </w:numPr>
        <w:spacing w:after="120"/>
        <w:rPr>
          <w:sz w:val="23"/>
          <w:szCs w:val="23"/>
        </w:rPr>
      </w:pPr>
      <w:r>
        <w:rPr>
          <w:sz w:val="23"/>
          <w:szCs w:val="23"/>
        </w:rPr>
        <w:t xml:space="preserve">During exams, use of all electronic devices (e.g., cell phones, music devices, smart watches, </w:t>
      </w:r>
      <w:r w:rsidR="00793562">
        <w:rPr>
          <w:sz w:val="23"/>
          <w:szCs w:val="23"/>
        </w:rPr>
        <w:t xml:space="preserve">laptops, </w:t>
      </w:r>
      <w:r>
        <w:rPr>
          <w:sz w:val="23"/>
          <w:szCs w:val="23"/>
        </w:rPr>
        <w:t>etc.)</w:t>
      </w:r>
      <w:r w:rsidR="00F45D75">
        <w:rPr>
          <w:sz w:val="23"/>
          <w:szCs w:val="23"/>
        </w:rPr>
        <w:t xml:space="preserve"> </w:t>
      </w:r>
      <w:r>
        <w:rPr>
          <w:sz w:val="23"/>
          <w:szCs w:val="23"/>
        </w:rPr>
        <w:t xml:space="preserve">and communicating with others in any verbal or non-verbal manner are strictly prohibited. </w:t>
      </w:r>
    </w:p>
    <w:p w14:paraId="1C24CA1A" w14:textId="00E918ED" w:rsidR="00C517C6" w:rsidRDefault="00C517C6" w:rsidP="005F39C4">
      <w:pPr>
        <w:pStyle w:val="Default"/>
        <w:numPr>
          <w:ilvl w:val="0"/>
          <w:numId w:val="4"/>
        </w:numPr>
        <w:spacing w:after="120"/>
        <w:rPr>
          <w:sz w:val="23"/>
          <w:szCs w:val="23"/>
        </w:rPr>
      </w:pPr>
      <w:r>
        <w:rPr>
          <w:sz w:val="23"/>
          <w:szCs w:val="23"/>
        </w:rPr>
        <w:t xml:space="preserve">You will be allowed one simple calculator for calculations on exams. </w:t>
      </w:r>
    </w:p>
    <w:p w14:paraId="715CF266" w14:textId="47730F35" w:rsidR="00365430" w:rsidRDefault="00365430" w:rsidP="005F39C4">
      <w:pPr>
        <w:pStyle w:val="Default"/>
        <w:numPr>
          <w:ilvl w:val="0"/>
          <w:numId w:val="4"/>
        </w:numPr>
        <w:spacing w:after="120"/>
        <w:rPr>
          <w:sz w:val="23"/>
          <w:szCs w:val="23"/>
        </w:rPr>
      </w:pPr>
      <w:r>
        <w:rPr>
          <w:sz w:val="23"/>
          <w:szCs w:val="23"/>
        </w:rPr>
        <w:t>During exams, make certain your notes</w:t>
      </w:r>
      <w:r w:rsidR="00556DFE">
        <w:rPr>
          <w:sz w:val="23"/>
          <w:szCs w:val="23"/>
        </w:rPr>
        <w:t xml:space="preserve"> and</w:t>
      </w:r>
      <w:r>
        <w:rPr>
          <w:sz w:val="23"/>
          <w:szCs w:val="23"/>
        </w:rPr>
        <w:t xml:space="preserve"> textbook</w:t>
      </w:r>
      <w:r w:rsidR="00556DFE">
        <w:rPr>
          <w:sz w:val="23"/>
          <w:szCs w:val="23"/>
        </w:rPr>
        <w:t xml:space="preserve"> </w:t>
      </w:r>
      <w:r>
        <w:rPr>
          <w:sz w:val="23"/>
          <w:szCs w:val="23"/>
        </w:rPr>
        <w:t xml:space="preserve">are </w:t>
      </w:r>
      <w:r w:rsidR="00556DFE">
        <w:rPr>
          <w:sz w:val="23"/>
          <w:szCs w:val="23"/>
        </w:rPr>
        <w:t>away from the testing area</w:t>
      </w:r>
      <w:r>
        <w:rPr>
          <w:sz w:val="23"/>
          <w:szCs w:val="23"/>
        </w:rPr>
        <w:t xml:space="preserve">. Copies of the exam are never to leave the classroom. </w:t>
      </w:r>
    </w:p>
    <w:p w14:paraId="15CC1A3C" w14:textId="241B2CF0" w:rsidR="00365430" w:rsidRDefault="00365430" w:rsidP="005F39C4">
      <w:pPr>
        <w:pStyle w:val="Default"/>
        <w:numPr>
          <w:ilvl w:val="0"/>
          <w:numId w:val="4"/>
        </w:numPr>
        <w:spacing w:after="120"/>
        <w:rPr>
          <w:sz w:val="23"/>
          <w:szCs w:val="23"/>
        </w:rPr>
      </w:pPr>
      <w:r>
        <w:rPr>
          <w:sz w:val="23"/>
          <w:szCs w:val="23"/>
        </w:rPr>
        <w:t xml:space="preserve">Be punctual on examination dates. You will most likely need the entire examination period to complete the exam. </w:t>
      </w:r>
    </w:p>
    <w:p w14:paraId="521727EB" w14:textId="5C897679" w:rsidR="00365430" w:rsidRDefault="00365430" w:rsidP="005F39C4">
      <w:pPr>
        <w:pStyle w:val="Default"/>
        <w:numPr>
          <w:ilvl w:val="0"/>
          <w:numId w:val="5"/>
        </w:numPr>
        <w:spacing w:after="120"/>
        <w:rPr>
          <w:sz w:val="23"/>
          <w:szCs w:val="23"/>
        </w:rPr>
      </w:pPr>
      <w:r>
        <w:rPr>
          <w:sz w:val="23"/>
          <w:szCs w:val="23"/>
        </w:rPr>
        <w:t xml:space="preserve">You have one week after exam scores are posted to dispute answers on the exam. All disputes must be made in writing and should include sufficient persuasive argument(s) with substantive evidence (including citations if appropriate) as to why a correction should be made. </w:t>
      </w:r>
    </w:p>
    <w:p w14:paraId="2B5D088A" w14:textId="40D2EB08" w:rsidR="00365430" w:rsidRDefault="00365430" w:rsidP="00365430">
      <w:pPr>
        <w:pStyle w:val="Heading2"/>
      </w:pPr>
      <w:r>
        <w:t xml:space="preserve">Quizzes </w:t>
      </w:r>
    </w:p>
    <w:p w14:paraId="61BFF7CA" w14:textId="768F75DC" w:rsidR="00365430" w:rsidRDefault="00365430" w:rsidP="00365430">
      <w:pPr>
        <w:pStyle w:val="Default"/>
        <w:rPr>
          <w:sz w:val="23"/>
          <w:szCs w:val="23"/>
        </w:rPr>
      </w:pPr>
      <w:r>
        <w:rPr>
          <w:sz w:val="23"/>
          <w:szCs w:val="23"/>
        </w:rPr>
        <w:t>Five quizzes will be given and made up of multiple-choice and/or short answer questions. These quizzes will be either take-home or in-class. Quizzes will be on material covered in the previous class or on that day. No make-up quizzes will be given. These must be worked on individually</w:t>
      </w:r>
      <w:r w:rsidR="00F45D75">
        <w:rPr>
          <w:sz w:val="23"/>
          <w:szCs w:val="23"/>
        </w:rPr>
        <w:t xml:space="preserve">. </w:t>
      </w:r>
    </w:p>
    <w:p w14:paraId="40848D61" w14:textId="77777777" w:rsidR="00365430" w:rsidRDefault="00365430" w:rsidP="00365430">
      <w:pPr>
        <w:pStyle w:val="Heading2"/>
      </w:pPr>
      <w:r>
        <w:t xml:space="preserve">Assignments </w:t>
      </w:r>
    </w:p>
    <w:p w14:paraId="14B4FC1A" w14:textId="184BCE65" w:rsidR="00365430" w:rsidRDefault="00365430" w:rsidP="00365430">
      <w:pPr>
        <w:pStyle w:val="Default"/>
        <w:rPr>
          <w:sz w:val="23"/>
          <w:szCs w:val="23"/>
        </w:rPr>
      </w:pPr>
      <w:r>
        <w:rPr>
          <w:sz w:val="23"/>
          <w:szCs w:val="23"/>
        </w:rPr>
        <w:t xml:space="preserve">Assignments are for your own practice and benefit. You should not wait to do assignments until after the class for which it is assigned, since doing them will help to provide a starting point for class discussion. Moreover, doing all assignments is a necessary but not sufficient condition for succeeding in the class: success will come from a combination of preparing adequately before the class, practicing the applications of the course material (through the assignments and beyond), and dedicating a substantial amount of time to studying for the test. </w:t>
      </w:r>
    </w:p>
    <w:p w14:paraId="789BC2ED" w14:textId="09EAEDE4" w:rsidR="00365430" w:rsidRDefault="00365430" w:rsidP="00365430">
      <w:pPr>
        <w:pStyle w:val="Heading2"/>
      </w:pPr>
      <w:r>
        <w:lastRenderedPageBreak/>
        <w:t xml:space="preserve">Mini-Cases </w:t>
      </w:r>
    </w:p>
    <w:p w14:paraId="0A91F024" w14:textId="1EA7B42B" w:rsidR="00365430" w:rsidRDefault="00365430" w:rsidP="00365430">
      <w:pPr>
        <w:pStyle w:val="Default"/>
        <w:rPr>
          <w:color w:val="auto"/>
          <w:sz w:val="23"/>
          <w:szCs w:val="23"/>
        </w:rPr>
      </w:pPr>
      <w:r>
        <w:rPr>
          <w:color w:val="auto"/>
          <w:sz w:val="23"/>
          <w:szCs w:val="23"/>
        </w:rPr>
        <w:t xml:space="preserve">There will be </w:t>
      </w:r>
      <w:r w:rsidR="009C5083">
        <w:rPr>
          <w:color w:val="auto"/>
          <w:sz w:val="23"/>
          <w:szCs w:val="23"/>
        </w:rPr>
        <w:t>2</w:t>
      </w:r>
      <w:r>
        <w:rPr>
          <w:color w:val="auto"/>
          <w:sz w:val="23"/>
          <w:szCs w:val="23"/>
        </w:rPr>
        <w:t xml:space="preserve"> ‘mini-cases’ distributed throughout the course of the semester and are designed to be worked on in a group. These will be special problems designed to for you to tackle outside of class time which will expose you to real-word, current problems facing the accounting profession. Topics for these cases will include professional research (in particular, using the Accounting Standards Codification), emerging accounting issues, and/or professional ethics. These mini-cases will be assigned as the </w:t>
      </w:r>
      <w:r w:rsidR="00556DFE">
        <w:rPr>
          <w:color w:val="auto"/>
          <w:sz w:val="23"/>
          <w:szCs w:val="23"/>
        </w:rPr>
        <w:t>course</w:t>
      </w:r>
      <w:r>
        <w:rPr>
          <w:color w:val="auto"/>
          <w:sz w:val="23"/>
          <w:szCs w:val="23"/>
        </w:rPr>
        <w:t xml:space="preserve"> progresses according to the tentative schedule presented at the end of the syllabus. The mini-cases will be graded entirely based on effort and critical-thinking, not necessarily on whether you get to the ‘correct’ answer – in many instances, these cases will not have a clear, definite ‘correct’ answer. Instead, I want to see how you tackle the problem(s) and how you utilize the various tools I</w:t>
      </w:r>
      <w:r w:rsidR="00D55465">
        <w:rPr>
          <w:color w:val="auto"/>
          <w:sz w:val="23"/>
          <w:szCs w:val="23"/>
        </w:rPr>
        <w:t xml:space="preserve"> have taught you in the class.</w:t>
      </w:r>
    </w:p>
    <w:p w14:paraId="1266B6E4" w14:textId="77777777" w:rsidR="009C5083" w:rsidRDefault="009C5083" w:rsidP="00365430">
      <w:pPr>
        <w:pStyle w:val="Default"/>
        <w:rPr>
          <w:color w:val="auto"/>
          <w:sz w:val="23"/>
          <w:szCs w:val="23"/>
        </w:rPr>
      </w:pPr>
    </w:p>
    <w:p w14:paraId="1BB65A3D" w14:textId="77777777" w:rsidR="00365430" w:rsidRDefault="00365430" w:rsidP="00365430">
      <w:pPr>
        <w:pStyle w:val="Default"/>
        <w:rPr>
          <w:color w:val="auto"/>
          <w:sz w:val="23"/>
          <w:szCs w:val="23"/>
        </w:rPr>
      </w:pPr>
      <w:r>
        <w:rPr>
          <w:color w:val="auto"/>
          <w:sz w:val="23"/>
          <w:szCs w:val="23"/>
        </w:rPr>
        <w:t xml:space="preserve">Since these mini-cases are meant to be worked on in a group, I reserve the right to require peer evaluations at the end of each mini-case. For each case, there may be an individual component graded in addition to the group component. If it is clearly documented that a particular group member is not doing a material amount of work and refuses to add a material addition of work after reasonable arbitration on the part of their fellow group members and myself, I reserve the right to adjust the student’s grade for the amount of work established to be done or, if there is sufficient time left in the semester, to require the student to do an alternative assignment which is reasonably similar in workload to the specific mini-case. </w:t>
      </w:r>
    </w:p>
    <w:p w14:paraId="3C5FF890" w14:textId="77777777" w:rsidR="00365430" w:rsidRPr="00365430" w:rsidRDefault="00365430" w:rsidP="00365430">
      <w:pPr>
        <w:pStyle w:val="Heading3"/>
        <w:rPr>
          <w:b w:val="0"/>
          <w:sz w:val="23"/>
          <w:szCs w:val="23"/>
        </w:rPr>
      </w:pPr>
      <w:r w:rsidRPr="00365430">
        <w:rPr>
          <w:b w:val="0"/>
          <w:sz w:val="23"/>
          <w:szCs w:val="23"/>
        </w:rPr>
        <w:t xml:space="preserve">NOTE that University policy F69-24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w:t>
      </w:r>
    </w:p>
    <w:p w14:paraId="1ACD75C2" w14:textId="2B4E7AAC" w:rsidR="00BD1F83" w:rsidRPr="00ED5D7A" w:rsidRDefault="00365430">
      <w:pPr>
        <w:pStyle w:val="Heading2"/>
      </w:pPr>
      <w:r>
        <w:t>Grading Information</w:t>
      </w:r>
    </w:p>
    <w:p w14:paraId="13C5EFA3" w14:textId="33B29FE3" w:rsidR="004F7E38" w:rsidRDefault="004F7E38" w:rsidP="004F7E38">
      <w:r>
        <w:t>Grading will be based on a percentage of total course points earned during the semester. The course components li</w:t>
      </w:r>
      <w:r w:rsidR="0090594B">
        <w:t xml:space="preserve">sted above </w:t>
      </w:r>
      <w:r>
        <w:t>will have the following point totals:</w:t>
      </w:r>
    </w:p>
    <w:p w14:paraId="2B86EAC7" w14:textId="77777777" w:rsidR="004F7E38" w:rsidRDefault="004F7E38" w:rsidP="004F7E38"/>
    <w:p w14:paraId="71E98E5C" w14:textId="1E2A87B2" w:rsidR="004F7E38" w:rsidRDefault="00B37C73" w:rsidP="004F7E38">
      <w:r>
        <w:t xml:space="preserve">Examinations </w:t>
      </w:r>
      <w:r>
        <w:tab/>
      </w:r>
      <w:r>
        <w:tab/>
      </w:r>
      <w:r w:rsidR="002F68A6">
        <w:t xml:space="preserve">               </w:t>
      </w:r>
      <w:r>
        <w:t>6</w:t>
      </w:r>
      <w:r w:rsidR="004F7E38">
        <w:t xml:space="preserve">00 </w:t>
      </w:r>
      <w:r w:rsidR="004F7E38">
        <w:tab/>
        <w:t>(</w:t>
      </w:r>
      <w:r w:rsidR="0010447F">
        <w:t>1</w:t>
      </w:r>
      <w:r w:rsidR="004F7E38">
        <w:t xml:space="preserve"> midterm exams @ </w:t>
      </w:r>
      <w:r w:rsidR="0010447F">
        <w:t>250</w:t>
      </w:r>
      <w:r w:rsidR="004F7E38">
        <w:t xml:space="preserve"> points, 1 final exam @ </w:t>
      </w:r>
      <w:r w:rsidR="0010447F">
        <w:t xml:space="preserve">350 </w:t>
      </w:r>
      <w:r w:rsidR="004F7E38">
        <w:t>points)</w:t>
      </w:r>
    </w:p>
    <w:p w14:paraId="476F1C08" w14:textId="4998B5F6" w:rsidR="004F7E38" w:rsidRDefault="00D55739" w:rsidP="004F7E38">
      <w:r>
        <w:t>Assignments</w:t>
      </w:r>
      <w:r>
        <w:tab/>
      </w:r>
      <w:r>
        <w:tab/>
      </w:r>
      <w:r w:rsidR="002F68A6">
        <w:t xml:space="preserve">               </w:t>
      </w:r>
      <w:r>
        <w:t>1</w:t>
      </w:r>
      <w:r w:rsidR="00BE0428">
        <w:t>2</w:t>
      </w:r>
      <w:r>
        <w:t>0</w:t>
      </w:r>
      <w:r w:rsidR="00EB16F8">
        <w:tab/>
      </w:r>
      <w:r w:rsidR="00BE0428">
        <w:t>(10 points per assignment, 12 assignments total)</w:t>
      </w:r>
    </w:p>
    <w:p w14:paraId="5E6973A9" w14:textId="59AF460F" w:rsidR="00B37C73" w:rsidRPr="002F68A6" w:rsidRDefault="004F7E38" w:rsidP="004F7E38">
      <w:r>
        <w:t>Mini-cases</w:t>
      </w:r>
      <w:r>
        <w:tab/>
      </w:r>
      <w:r>
        <w:tab/>
      </w:r>
      <w:r w:rsidR="002F68A6">
        <w:t xml:space="preserve">               </w:t>
      </w:r>
      <w:r>
        <w:t>1</w:t>
      </w:r>
      <w:r w:rsidR="002F68A6">
        <w:t>80</w:t>
      </w:r>
      <w:r>
        <w:tab/>
        <w:t xml:space="preserve">(1 mini-case @ </w:t>
      </w:r>
      <w:r w:rsidR="002F68A6">
        <w:t>80</w:t>
      </w:r>
      <w:r>
        <w:t xml:space="preserve"> point</w:t>
      </w:r>
      <w:r w:rsidR="0010447F">
        <w:t>s</w:t>
      </w:r>
      <w:r>
        <w:t xml:space="preserve">, </w:t>
      </w:r>
      <w:r w:rsidR="002F68A6">
        <w:t>1</w:t>
      </w:r>
      <w:r>
        <w:t xml:space="preserve"> mini-case at </w:t>
      </w:r>
      <w:r w:rsidR="0010447F">
        <w:t>100</w:t>
      </w:r>
      <w:r>
        <w:t xml:space="preserve"> points)</w:t>
      </w:r>
      <w:r w:rsidR="002F68A6">
        <w:t xml:space="preserve">                                      </w:t>
      </w:r>
      <w:r w:rsidR="00F45D75" w:rsidRPr="00F45D75">
        <w:rPr>
          <w:u w:val="single"/>
        </w:rPr>
        <w:t>Class Exercises</w:t>
      </w:r>
      <w:r w:rsidR="002F68A6">
        <w:rPr>
          <w:u w:val="single"/>
        </w:rPr>
        <w:t>/Participation</w:t>
      </w:r>
      <w:r w:rsidR="00B37C73" w:rsidRPr="00F45D75">
        <w:rPr>
          <w:u w:val="single"/>
        </w:rPr>
        <w:tab/>
        <w:t xml:space="preserve">  </w:t>
      </w:r>
      <w:r w:rsidR="002F68A6">
        <w:rPr>
          <w:u w:val="single"/>
        </w:rPr>
        <w:t xml:space="preserve"> 100 </w:t>
      </w:r>
      <w:r w:rsidR="00B37C73" w:rsidRPr="00F45D75">
        <w:rPr>
          <w:u w:val="single"/>
        </w:rPr>
        <w:t xml:space="preserve">  </w:t>
      </w:r>
    </w:p>
    <w:p w14:paraId="10AE129D" w14:textId="277504AA" w:rsidR="004F7E38" w:rsidRDefault="00556DFE" w:rsidP="004F7E38">
      <w:r>
        <w:t>Total</w:t>
      </w:r>
      <w:r>
        <w:tab/>
      </w:r>
      <w:r>
        <w:tab/>
        <w:t xml:space="preserve">          </w:t>
      </w:r>
      <w:r w:rsidR="002F68A6">
        <w:t xml:space="preserve">               </w:t>
      </w:r>
      <w:r>
        <w:t>1000</w:t>
      </w:r>
    </w:p>
    <w:p w14:paraId="45415084" w14:textId="77777777" w:rsidR="00F45D75" w:rsidRDefault="00F45D75" w:rsidP="004F7E38"/>
    <w:p w14:paraId="010CDDFE" w14:textId="5AA2ACDE" w:rsidR="004F7E38" w:rsidRDefault="004F7E38" w:rsidP="004F7E38">
      <w:r>
        <w:t xml:space="preserve">Final grades will be determined from the distribution of points of all students in a section at the end of the semester. Tentatively, this means letter grades will be assigned according to the following point ranges (letter grade then </w:t>
      </w:r>
      <w:proofErr w:type="gramStart"/>
      <w:r>
        <w:t>point</w:t>
      </w:r>
      <w:proofErr w:type="gramEnd"/>
      <w:r>
        <w:t xml:space="preserve"> range):</w:t>
      </w:r>
    </w:p>
    <w:p w14:paraId="5246FA90" w14:textId="77777777" w:rsidR="004F7E38" w:rsidRPr="00B23C26" w:rsidRDefault="004F7E38" w:rsidP="004F7E38">
      <w:pPr>
        <w:rPr>
          <w:i/>
        </w:rPr>
      </w:pPr>
    </w:p>
    <w:tbl>
      <w:tblPr>
        <w:tblStyle w:val="TableGrid"/>
        <w:tblW w:w="0" w:type="auto"/>
        <w:tblLook w:val="04A0" w:firstRow="1" w:lastRow="0" w:firstColumn="1" w:lastColumn="0" w:noHBand="0" w:noVBand="1"/>
        <w:tblCaption w:val="Grading Criteria"/>
        <w:tblDescription w:val="Grading Criteria"/>
      </w:tblPr>
      <w:tblGrid>
        <w:gridCol w:w="1615"/>
        <w:gridCol w:w="1710"/>
      </w:tblGrid>
      <w:tr w:rsidR="004F7E38" w:rsidRPr="00B23C26" w14:paraId="11F6CC95" w14:textId="77777777" w:rsidTr="004F7E38">
        <w:trPr>
          <w:tblHeader/>
        </w:trPr>
        <w:tc>
          <w:tcPr>
            <w:tcW w:w="1615" w:type="dxa"/>
            <w:shd w:val="clear" w:color="auto" w:fill="F2F2F2" w:themeFill="background1" w:themeFillShade="F2"/>
          </w:tcPr>
          <w:p w14:paraId="08074853" w14:textId="77777777" w:rsidR="004F7E38" w:rsidRPr="008F287B" w:rsidRDefault="004F7E38" w:rsidP="004F7E38">
            <w:pPr>
              <w:rPr>
                <w:rFonts w:ascii="Times New Roman" w:hAnsi="Times New Roman"/>
                <w:i/>
                <w:sz w:val="28"/>
              </w:rPr>
            </w:pPr>
            <w:r w:rsidRPr="008F287B">
              <w:rPr>
                <w:rFonts w:ascii="Times New Roman" w:hAnsi="Times New Roman"/>
                <w:i/>
                <w:sz w:val="28"/>
              </w:rPr>
              <w:t xml:space="preserve">Grade </w:t>
            </w:r>
          </w:p>
        </w:tc>
        <w:tc>
          <w:tcPr>
            <w:tcW w:w="1710" w:type="dxa"/>
            <w:shd w:val="clear" w:color="auto" w:fill="F2F2F2" w:themeFill="background1" w:themeFillShade="F2"/>
          </w:tcPr>
          <w:p w14:paraId="1A6E3BBF" w14:textId="77777777" w:rsidR="004F7E38" w:rsidRPr="008F287B" w:rsidRDefault="004F7E38" w:rsidP="004F7E38">
            <w:pPr>
              <w:rPr>
                <w:rFonts w:ascii="Times New Roman" w:hAnsi="Times New Roman"/>
                <w:i/>
                <w:sz w:val="28"/>
              </w:rPr>
            </w:pPr>
            <w:r w:rsidRPr="008F287B">
              <w:rPr>
                <w:rFonts w:ascii="Times New Roman" w:hAnsi="Times New Roman"/>
                <w:i/>
                <w:sz w:val="28"/>
              </w:rPr>
              <w:t>Points</w:t>
            </w:r>
          </w:p>
        </w:tc>
      </w:tr>
      <w:tr w:rsidR="004F7E38" w:rsidRPr="00B23C26" w14:paraId="743B79E9" w14:textId="77777777" w:rsidTr="004F7E38">
        <w:tc>
          <w:tcPr>
            <w:tcW w:w="1615" w:type="dxa"/>
          </w:tcPr>
          <w:p w14:paraId="44131A77"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A plus</w:t>
            </w:r>
          </w:p>
        </w:tc>
        <w:tc>
          <w:tcPr>
            <w:tcW w:w="1710" w:type="dxa"/>
          </w:tcPr>
          <w:p w14:paraId="2BEB12C2"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980 to 1000</w:t>
            </w:r>
          </w:p>
        </w:tc>
      </w:tr>
      <w:tr w:rsidR="004F7E38" w:rsidRPr="00B23C26" w14:paraId="7EDD9CA7" w14:textId="77777777" w:rsidTr="004F7E38">
        <w:tc>
          <w:tcPr>
            <w:tcW w:w="1615" w:type="dxa"/>
          </w:tcPr>
          <w:p w14:paraId="28C0CCE4"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A</w:t>
            </w:r>
          </w:p>
        </w:tc>
        <w:tc>
          <w:tcPr>
            <w:tcW w:w="1710" w:type="dxa"/>
          </w:tcPr>
          <w:p w14:paraId="07811A60"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920 to 979</w:t>
            </w:r>
          </w:p>
        </w:tc>
      </w:tr>
      <w:tr w:rsidR="004F7E38" w:rsidRPr="00B23C26" w14:paraId="7B00FC2D" w14:textId="77777777" w:rsidTr="004F7E38">
        <w:tc>
          <w:tcPr>
            <w:tcW w:w="1615" w:type="dxa"/>
          </w:tcPr>
          <w:p w14:paraId="16CFB353"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A minus</w:t>
            </w:r>
          </w:p>
        </w:tc>
        <w:tc>
          <w:tcPr>
            <w:tcW w:w="1710" w:type="dxa"/>
          </w:tcPr>
          <w:p w14:paraId="391F25FC"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900 to 919</w:t>
            </w:r>
          </w:p>
        </w:tc>
      </w:tr>
      <w:tr w:rsidR="004F7E38" w:rsidRPr="00B23C26" w14:paraId="6E9B9A34" w14:textId="77777777" w:rsidTr="004F7E38">
        <w:tc>
          <w:tcPr>
            <w:tcW w:w="1615" w:type="dxa"/>
          </w:tcPr>
          <w:p w14:paraId="6FD73D0F"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B plus</w:t>
            </w:r>
          </w:p>
        </w:tc>
        <w:tc>
          <w:tcPr>
            <w:tcW w:w="1710" w:type="dxa"/>
          </w:tcPr>
          <w:p w14:paraId="2F4E6C40"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880 to 899</w:t>
            </w:r>
          </w:p>
        </w:tc>
      </w:tr>
      <w:tr w:rsidR="004F7E38" w:rsidRPr="00B23C26" w14:paraId="1D4D61B2" w14:textId="77777777" w:rsidTr="004F7E38">
        <w:tc>
          <w:tcPr>
            <w:tcW w:w="1615" w:type="dxa"/>
          </w:tcPr>
          <w:p w14:paraId="6277BD9E"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B</w:t>
            </w:r>
          </w:p>
        </w:tc>
        <w:tc>
          <w:tcPr>
            <w:tcW w:w="1710" w:type="dxa"/>
          </w:tcPr>
          <w:p w14:paraId="26B232A3"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820 to 879</w:t>
            </w:r>
          </w:p>
        </w:tc>
      </w:tr>
      <w:tr w:rsidR="004F7E38" w:rsidRPr="00B23C26" w14:paraId="1B71274F" w14:textId="77777777" w:rsidTr="004F7E38">
        <w:tc>
          <w:tcPr>
            <w:tcW w:w="1615" w:type="dxa"/>
          </w:tcPr>
          <w:p w14:paraId="3CA9B245"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B minus</w:t>
            </w:r>
          </w:p>
        </w:tc>
        <w:tc>
          <w:tcPr>
            <w:tcW w:w="1710" w:type="dxa"/>
          </w:tcPr>
          <w:p w14:paraId="5528DB47"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800 to 819</w:t>
            </w:r>
          </w:p>
        </w:tc>
      </w:tr>
      <w:tr w:rsidR="004F7E38" w:rsidRPr="00B23C26" w14:paraId="48E692F3" w14:textId="77777777" w:rsidTr="004F7E38">
        <w:tc>
          <w:tcPr>
            <w:tcW w:w="1615" w:type="dxa"/>
          </w:tcPr>
          <w:p w14:paraId="5EFDC67B"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C plus</w:t>
            </w:r>
          </w:p>
        </w:tc>
        <w:tc>
          <w:tcPr>
            <w:tcW w:w="1710" w:type="dxa"/>
          </w:tcPr>
          <w:p w14:paraId="48B45325"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780 to 799</w:t>
            </w:r>
          </w:p>
        </w:tc>
      </w:tr>
      <w:tr w:rsidR="004F7E38" w:rsidRPr="00B23C26" w14:paraId="05261B0E" w14:textId="77777777" w:rsidTr="004F7E38">
        <w:tc>
          <w:tcPr>
            <w:tcW w:w="1615" w:type="dxa"/>
          </w:tcPr>
          <w:p w14:paraId="50A04C51"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lastRenderedPageBreak/>
              <w:t>C</w:t>
            </w:r>
          </w:p>
        </w:tc>
        <w:tc>
          <w:tcPr>
            <w:tcW w:w="1710" w:type="dxa"/>
          </w:tcPr>
          <w:p w14:paraId="309CA9AD"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720 to 779</w:t>
            </w:r>
          </w:p>
        </w:tc>
      </w:tr>
      <w:tr w:rsidR="004F7E38" w:rsidRPr="00B23C26" w14:paraId="27F00906" w14:textId="77777777" w:rsidTr="004F7E38">
        <w:tc>
          <w:tcPr>
            <w:tcW w:w="1615" w:type="dxa"/>
          </w:tcPr>
          <w:p w14:paraId="21E8AD52"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C minus</w:t>
            </w:r>
          </w:p>
        </w:tc>
        <w:tc>
          <w:tcPr>
            <w:tcW w:w="1710" w:type="dxa"/>
          </w:tcPr>
          <w:p w14:paraId="764DF655"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700 to 719</w:t>
            </w:r>
          </w:p>
        </w:tc>
      </w:tr>
      <w:tr w:rsidR="004F7E38" w:rsidRPr="00B23C26" w14:paraId="430A7DED" w14:textId="77777777" w:rsidTr="004F7E38">
        <w:tc>
          <w:tcPr>
            <w:tcW w:w="1615" w:type="dxa"/>
          </w:tcPr>
          <w:p w14:paraId="3E97059E"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D plus</w:t>
            </w:r>
          </w:p>
        </w:tc>
        <w:tc>
          <w:tcPr>
            <w:tcW w:w="1710" w:type="dxa"/>
          </w:tcPr>
          <w:p w14:paraId="42BF6174"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680 to 699</w:t>
            </w:r>
          </w:p>
        </w:tc>
      </w:tr>
      <w:tr w:rsidR="004F7E38" w:rsidRPr="00B23C26" w14:paraId="28735DE3" w14:textId="77777777" w:rsidTr="004F7E38">
        <w:tc>
          <w:tcPr>
            <w:tcW w:w="1615" w:type="dxa"/>
          </w:tcPr>
          <w:p w14:paraId="048DBE53"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D</w:t>
            </w:r>
          </w:p>
        </w:tc>
        <w:tc>
          <w:tcPr>
            <w:tcW w:w="1710" w:type="dxa"/>
          </w:tcPr>
          <w:p w14:paraId="4CCB25BB"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620 to 679</w:t>
            </w:r>
          </w:p>
        </w:tc>
      </w:tr>
      <w:tr w:rsidR="004F7E38" w:rsidRPr="00B23C26" w14:paraId="53E552F3" w14:textId="77777777" w:rsidTr="004F7E38">
        <w:tc>
          <w:tcPr>
            <w:tcW w:w="1615" w:type="dxa"/>
          </w:tcPr>
          <w:p w14:paraId="6CE596F8"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D minus</w:t>
            </w:r>
          </w:p>
        </w:tc>
        <w:tc>
          <w:tcPr>
            <w:tcW w:w="1710" w:type="dxa"/>
          </w:tcPr>
          <w:p w14:paraId="3EDD8934"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600 to 619</w:t>
            </w:r>
          </w:p>
        </w:tc>
      </w:tr>
      <w:tr w:rsidR="004F7E38" w:rsidRPr="00B23C26" w14:paraId="32C4269D" w14:textId="77777777" w:rsidTr="004F7E38">
        <w:tc>
          <w:tcPr>
            <w:tcW w:w="1615" w:type="dxa"/>
          </w:tcPr>
          <w:p w14:paraId="1FAC23EC"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F</w:t>
            </w:r>
          </w:p>
        </w:tc>
        <w:tc>
          <w:tcPr>
            <w:tcW w:w="1710" w:type="dxa"/>
          </w:tcPr>
          <w:p w14:paraId="29EAE0F0" w14:textId="77777777" w:rsidR="004F7E38" w:rsidRPr="008F287B" w:rsidRDefault="004F7E38" w:rsidP="004F7E38">
            <w:pPr>
              <w:rPr>
                <w:rFonts w:ascii="Times New Roman" w:hAnsi="Times New Roman"/>
                <w:i/>
                <w:sz w:val="28"/>
                <w:szCs w:val="20"/>
              </w:rPr>
            </w:pPr>
            <w:r w:rsidRPr="008F287B">
              <w:rPr>
                <w:rFonts w:ascii="Times New Roman" w:hAnsi="Times New Roman"/>
                <w:i/>
                <w:sz w:val="28"/>
                <w:szCs w:val="20"/>
              </w:rPr>
              <w:t>Below 600</w:t>
            </w:r>
          </w:p>
        </w:tc>
      </w:tr>
    </w:tbl>
    <w:p w14:paraId="2A0A1D31" w14:textId="77777777" w:rsidR="004F7E38" w:rsidRDefault="004F7E38" w:rsidP="004F7E38"/>
    <w:p w14:paraId="35453620" w14:textId="0952D1DD" w:rsidR="004F7E38" w:rsidRDefault="004F7E38" w:rsidP="004F7E38">
      <w:r w:rsidRPr="003441D6">
        <w:rPr>
          <w:b/>
          <w:i/>
        </w:rPr>
        <w:t>I will not allow any make-up examinations or make-up assignments.</w:t>
      </w:r>
      <w:r>
        <w:t xml:space="preserve"> If you must miss the final exam due to an extremely important reason such as serious accident or illness, you will be required to provide written documentation from a professional third party such as a hospital or medical doctor</w:t>
      </w:r>
      <w:r w:rsidR="00F45D75">
        <w:t xml:space="preserve"> and approval from the university</w:t>
      </w:r>
      <w:r w:rsidR="005C7B16">
        <w:t>.</w:t>
      </w:r>
    </w:p>
    <w:p w14:paraId="3B3A287E" w14:textId="77777777" w:rsidR="004F7E38" w:rsidRDefault="004F7E38" w:rsidP="004F7E38"/>
    <w:p w14:paraId="41302C76" w14:textId="2DCE9877" w:rsidR="004F7E38" w:rsidRDefault="005C7B16" w:rsidP="004F7E38">
      <w:r w:rsidRPr="003441D6">
        <w:rPr>
          <w:b/>
          <w:i/>
        </w:rPr>
        <w:t>I will not accept late work.</w:t>
      </w:r>
      <w:r>
        <w:t xml:space="preserve"> </w:t>
      </w:r>
      <w:r w:rsidR="004F7E38">
        <w:t>I encourage all students to not procrastinate and to complete their assignments promptly.</w:t>
      </w:r>
    </w:p>
    <w:p w14:paraId="702677AB" w14:textId="77777777" w:rsidR="004F7E38" w:rsidRDefault="004F7E38" w:rsidP="004F7E38"/>
    <w:p w14:paraId="0EC9BBEF" w14:textId="534DBA14" w:rsidR="004F7E38" w:rsidRDefault="004F7E38" w:rsidP="004F7E38">
      <w:r w:rsidRPr="00C517C6">
        <w:rPr>
          <w:b/>
          <w:i/>
        </w:rPr>
        <w:t>I will not discuss grades by e-mail or over the telephone.</w:t>
      </w:r>
      <w:r>
        <w:t xml:space="preserve"> If you wish to discuss your grades, we must do so </w:t>
      </w:r>
      <w:r w:rsidR="005C7B16">
        <w:t xml:space="preserve">“face to face” via </w:t>
      </w:r>
      <w:r w:rsidR="00F45D75">
        <w:t>office hours</w:t>
      </w:r>
      <w:r>
        <w:t xml:space="preserve"> where there is a reasonable degree of privacy</w:t>
      </w:r>
      <w:r w:rsidR="005C7B16">
        <w:t>.</w:t>
      </w:r>
    </w:p>
    <w:p w14:paraId="236E15E4" w14:textId="77777777" w:rsidR="005C7B16" w:rsidRDefault="005C7B16" w:rsidP="005C7B16">
      <w:pPr>
        <w:pStyle w:val="Heading2"/>
      </w:pPr>
      <w:r w:rsidRPr="00F277C9">
        <w:t>Classroom Protocol</w:t>
      </w:r>
    </w:p>
    <w:p w14:paraId="514AA06C" w14:textId="3EB45DEB" w:rsidR="005C7B16" w:rsidRPr="0009178C" w:rsidRDefault="005C7B16" w:rsidP="005C7B16">
      <w:r>
        <w:t>I expect p</w:t>
      </w:r>
      <w:r w:rsidRPr="0009178C">
        <w:t xml:space="preserve">rofessional behavior </w:t>
      </w:r>
      <w:r>
        <w:t xml:space="preserve">by students </w:t>
      </w:r>
      <w:r w:rsidRPr="0009178C">
        <w:t xml:space="preserve">at all times. You are all in a business program with the expectation of entering </w:t>
      </w:r>
      <w:r>
        <w:t>a professional career</w:t>
      </w:r>
      <w:r w:rsidRPr="0009178C">
        <w:t xml:space="preserve"> upon graduation. Now </w:t>
      </w:r>
      <w:r>
        <w:t xml:space="preserve">is the time to begin building an appropriate </w:t>
      </w:r>
      <w:r w:rsidRPr="0009178C">
        <w:t>attitude and demeanor. Professional behavior includes, but is not limited to:</w:t>
      </w:r>
    </w:p>
    <w:p w14:paraId="36F92BD9" w14:textId="0035E328" w:rsidR="005C7B16" w:rsidRPr="0009178C" w:rsidRDefault="005C7B16" w:rsidP="005C7B16">
      <w:pPr>
        <w:numPr>
          <w:ilvl w:val="0"/>
          <w:numId w:val="6"/>
        </w:numPr>
      </w:pPr>
      <w:r w:rsidRPr="0009178C">
        <w:t xml:space="preserve">Cell phones and all other handheld electronic devices will have their sound turned off (vibrate or silent) and kept in backpacks, purses, pockets, or other storage means during class time. Texting during class is disruptive and disrespectful to both your fellow students and me, and will </w:t>
      </w:r>
      <w:r w:rsidR="00F45D75">
        <w:t xml:space="preserve">not </w:t>
      </w:r>
      <w:r w:rsidRPr="0009178C">
        <w:t xml:space="preserve">be accepted during class </w:t>
      </w:r>
      <w:r w:rsidR="00F45D75">
        <w:t>similar to</w:t>
      </w:r>
      <w:r w:rsidRPr="0009178C">
        <w:t xml:space="preserve"> a business or client meeting. </w:t>
      </w:r>
    </w:p>
    <w:p w14:paraId="1013EACB" w14:textId="2E582530" w:rsidR="005C7B16" w:rsidRPr="0009178C" w:rsidRDefault="005C7B16" w:rsidP="005C7B16">
      <w:pPr>
        <w:numPr>
          <w:ilvl w:val="0"/>
          <w:numId w:val="6"/>
        </w:numPr>
      </w:pPr>
      <w:r w:rsidRPr="0009178C">
        <w:t>Always arriving to class on time. Late arrival to class is</w:t>
      </w:r>
      <w:r>
        <w:t xml:space="preserve"> potentially</w:t>
      </w:r>
      <w:r w:rsidRPr="0009178C">
        <w:t xml:space="preserve"> rude</w:t>
      </w:r>
      <w:r>
        <w:t xml:space="preserve"> to your classmates and to me.  There may be a quiz right at the beginning of class, so I expect you to be present right at the beginning of class in order to take it.</w:t>
      </w:r>
    </w:p>
    <w:p w14:paraId="672321BF" w14:textId="4E72DC26" w:rsidR="005C7B16" w:rsidRPr="0009178C" w:rsidRDefault="005C7B16" w:rsidP="005C7B16">
      <w:pPr>
        <w:numPr>
          <w:ilvl w:val="0"/>
          <w:numId w:val="6"/>
        </w:numPr>
      </w:pPr>
      <w:r w:rsidRPr="0009178C">
        <w:t>Courteous use of laptops, netbooks,</w:t>
      </w:r>
      <w:r>
        <w:t xml:space="preserve"> iPads, tablet computers, etc</w:t>
      </w:r>
      <w:r w:rsidRPr="0009178C">
        <w:t>.</w:t>
      </w:r>
      <w:r>
        <w:t xml:space="preserve"> Use of electronic devices during class should be limited to class-related activities.</w:t>
      </w:r>
    </w:p>
    <w:p w14:paraId="49D27879" w14:textId="77777777" w:rsidR="005C7B16" w:rsidRPr="0009178C" w:rsidRDefault="005C7B16" w:rsidP="005C7B16">
      <w:pPr>
        <w:numPr>
          <w:ilvl w:val="0"/>
          <w:numId w:val="6"/>
        </w:numPr>
      </w:pPr>
      <w:r w:rsidRPr="0009178C">
        <w:t>Always communicating in a professional and courteous manner to both me and your fellow students.  This includes written, oral, and electronic means of communication.</w:t>
      </w:r>
    </w:p>
    <w:p w14:paraId="2A649CDD" w14:textId="77777777" w:rsidR="005C7B16" w:rsidRPr="004F0EEE" w:rsidRDefault="005C7B16" w:rsidP="005C7B16">
      <w:pPr>
        <w:pStyle w:val="Heading3"/>
      </w:pPr>
      <w:r>
        <w:t>Professional Communication</w:t>
      </w:r>
    </w:p>
    <w:p w14:paraId="70E29B21" w14:textId="51C024B9" w:rsidR="005C7B16" w:rsidRPr="0009178C" w:rsidRDefault="005C7B16" w:rsidP="005C7B16">
      <w:r w:rsidRPr="0009178C">
        <w:t xml:space="preserve">You may reach me in person </w:t>
      </w:r>
      <w:r w:rsidR="00C517C6">
        <w:t>or via</w:t>
      </w:r>
      <w:r w:rsidR="00013F17">
        <w:t xml:space="preserve"> Zoom</w:t>
      </w:r>
      <w:r w:rsidRPr="0009178C">
        <w:t xml:space="preserve"> during posted office hours (s</w:t>
      </w:r>
      <w:r w:rsidR="00013F17">
        <w:t>ee above) and by appointment. F</w:t>
      </w:r>
      <w:r w:rsidRPr="0009178C">
        <w:t xml:space="preserve">inally, you may reach me via e-mail using the e-mail address at the top of this syllabus, but I reserve the right to only respond to e-mails during normal business hours or posted office hours. I also </w:t>
      </w:r>
      <w:r>
        <w:t>expect communication to be conducted in a professional manner. Communication that does not follow these rules may result in substantial delays</w:t>
      </w:r>
      <w:r w:rsidRPr="0009178C">
        <w:t>.</w:t>
      </w:r>
    </w:p>
    <w:p w14:paraId="406640D1" w14:textId="4D5485DC" w:rsidR="005C7B16" w:rsidRDefault="005C7B16" w:rsidP="005C7B16">
      <w:pPr>
        <w:numPr>
          <w:ilvl w:val="0"/>
          <w:numId w:val="7"/>
        </w:numPr>
      </w:pPr>
      <w:r w:rsidRPr="0009178C">
        <w:t xml:space="preserve">For example, it means that all e-mail correspondence </w:t>
      </w:r>
      <w:r>
        <w:t>should</w:t>
      </w:r>
      <w:r w:rsidRPr="0009178C">
        <w:t xml:space="preserve"> have an appropriate subject line, (</w:t>
      </w:r>
      <w:r>
        <w:t xml:space="preserve">preferably </w:t>
      </w:r>
      <w:r w:rsidRPr="0009178C">
        <w:t xml:space="preserve">prefaced with the course number </w:t>
      </w:r>
      <w:r>
        <w:t xml:space="preserve">and section </w:t>
      </w:r>
      <w:r w:rsidRPr="0009178C">
        <w:t xml:space="preserve">for this class, </w:t>
      </w:r>
      <w:r w:rsidR="00DD6E34">
        <w:t>BUS 220</w:t>
      </w:r>
      <w:r w:rsidR="003441D6">
        <w:t>B</w:t>
      </w:r>
      <w:r>
        <w:t>–001</w:t>
      </w:r>
      <w:r w:rsidRPr="0009178C">
        <w:t>),</w:t>
      </w:r>
      <w:r>
        <w:t xml:space="preserve"> </w:t>
      </w:r>
      <w:r w:rsidRPr="0009178C">
        <w:t xml:space="preserve">proper written structure (salutation, body, signature), and </w:t>
      </w:r>
      <w:r>
        <w:t>proper grammar and spelling.</w:t>
      </w:r>
    </w:p>
    <w:p w14:paraId="2DD16745" w14:textId="77777777" w:rsidR="005C7B16" w:rsidRDefault="005C7B16" w:rsidP="005C7B16"/>
    <w:p w14:paraId="557397A2" w14:textId="77777777" w:rsidR="005C7B16" w:rsidRDefault="001D7AF4" w:rsidP="005C7B16">
      <w:hyperlink r:id="rId10" w:history="1">
        <w:r w:rsidR="005C7B16" w:rsidRPr="008A3545">
          <w:rPr>
            <w:rStyle w:val="Hyperlink"/>
          </w:rPr>
          <w:t>Lucas College and Graduate School of Business: Program Goals and Class room policy</w:t>
        </w:r>
      </w:hyperlink>
      <w:r w:rsidR="005C7B16">
        <w:t xml:space="preserve"> at</w:t>
      </w:r>
    </w:p>
    <w:p w14:paraId="3E08C876" w14:textId="2774765F" w:rsidR="00BD1F83" w:rsidRPr="0083081F" w:rsidRDefault="005C7B16">
      <w:r w:rsidRPr="008A3545">
        <w:t>http://www.sjsu.edu/cob/Students/policies/index.html</w:t>
      </w:r>
    </w:p>
    <w:p w14:paraId="71FF3E7E" w14:textId="4E5F50C2" w:rsidR="00BD1F83" w:rsidRPr="00ED5D7A" w:rsidRDefault="00085EA8">
      <w:pPr>
        <w:pStyle w:val="Heading2"/>
      </w:pPr>
      <w:r w:rsidRPr="00ED5D7A">
        <w:t xml:space="preserve">University </w:t>
      </w:r>
      <w:r w:rsidR="00AB4F47">
        <w:t>Policies</w:t>
      </w:r>
    </w:p>
    <w:p w14:paraId="680D49A1" w14:textId="77777777" w:rsidR="00BD1F83" w:rsidRPr="00ED5D7A" w:rsidRDefault="00085EA8">
      <w:pPr>
        <w:rPr>
          <w:i/>
        </w:rPr>
      </w:pPr>
      <w:r w:rsidRPr="00ED5D7A">
        <w:t xml:space="preserve">Per </w:t>
      </w:r>
      <w:hyperlink r:id="rId11">
        <w:r w:rsidRPr="00ED5D7A">
          <w:rPr>
            <w:color w:val="0000FF"/>
            <w:u w:val="single"/>
          </w:rPr>
          <w:t>University Policy S16-9</w:t>
        </w:r>
      </w:hyperlink>
      <w:r w:rsidRPr="00ED5D7A">
        <w:t xml:space="preserve"> </w:t>
      </w:r>
      <w:r w:rsidRPr="00ED5D7A">
        <w:rPr>
          <w:i/>
        </w:rPr>
        <w:t>(http://www.sjsu.edu/senate/docs/S16-9.pdf)</w:t>
      </w:r>
      <w:r w:rsidRPr="00ED5D7A">
        <w:t xml:space="preserve">, relevant information to all courses, such as academic integrity, accommodations, dropping and adding, consent for recording of class, etc. is available on Office of Graduate and Undergraduate Programs’ </w:t>
      </w:r>
      <w:hyperlink r:id="rId12">
        <w:r w:rsidRPr="00ED5D7A">
          <w:rPr>
            <w:color w:val="0000FF"/>
            <w:u w:val="single"/>
          </w:rPr>
          <w:t>Syllabus Information web page</w:t>
        </w:r>
      </w:hyperlink>
      <w:r w:rsidRPr="00ED5D7A">
        <w:t xml:space="preserve"> at </w:t>
      </w:r>
      <w:r w:rsidRPr="00ED5D7A">
        <w:rPr>
          <w:i/>
        </w:rPr>
        <w:t>http://www.sjsu.edu/gup/syllabusinfo/</w:t>
      </w:r>
      <w:r w:rsidRPr="00ED5D7A">
        <w:t xml:space="preserve">. </w:t>
      </w:r>
    </w:p>
    <w:p w14:paraId="60CE8804" w14:textId="77777777" w:rsidR="00BD1F83" w:rsidRPr="00ED5D7A" w:rsidRDefault="00BD1F83"/>
    <w:p w14:paraId="6E44FC2F" w14:textId="77777777" w:rsidR="00BD1F83" w:rsidRPr="00ED5D7A" w:rsidRDefault="00085EA8">
      <w:pPr>
        <w:rPr>
          <w:i/>
        </w:rPr>
      </w:pPr>
      <w:r w:rsidRPr="00ED5D7A">
        <w:br w:type="page"/>
      </w:r>
    </w:p>
    <w:p w14:paraId="678B8524" w14:textId="77777777" w:rsidR="00BD1F83" w:rsidRPr="00ED5D7A" w:rsidRDefault="00BD1F83">
      <w:pPr>
        <w:tabs>
          <w:tab w:val="left" w:pos="2310"/>
        </w:tabs>
        <w:rPr>
          <w:rFonts w:eastAsia="Arial"/>
          <w:color w:val="222222"/>
        </w:rPr>
      </w:pPr>
    </w:p>
    <w:p w14:paraId="6E7FAFD6" w14:textId="77094648" w:rsidR="00BD1F83" w:rsidRPr="00ED5D7A" w:rsidRDefault="00515695">
      <w:pPr>
        <w:pStyle w:val="Heading1"/>
      </w:pPr>
      <w:r>
        <w:t>Financial Reporting and Analysis I – BUS 220</w:t>
      </w:r>
      <w:r w:rsidR="003441D6">
        <w:t>B</w:t>
      </w:r>
      <w:r>
        <w:t>, Summer 202</w:t>
      </w:r>
      <w:r w:rsidR="0083081F">
        <w:t>2</w:t>
      </w:r>
    </w:p>
    <w:p w14:paraId="338984F4" w14:textId="77777777" w:rsidR="00BD1F83" w:rsidRPr="00ED5D7A" w:rsidRDefault="00085EA8">
      <w:pPr>
        <w:pStyle w:val="Heading1"/>
      </w:pPr>
      <w:r w:rsidRPr="00ED5D7A">
        <w:t>Course Schedule</w:t>
      </w:r>
    </w:p>
    <w:p w14:paraId="1891E3F6" w14:textId="77777777" w:rsidR="0099285A" w:rsidRPr="004843E3" w:rsidRDefault="0099285A" w:rsidP="0099285A">
      <w:r>
        <w:t>Note that this schedule is tentative and is subject to change with fair notice.  Notice will be provided in class and/or on the assignment material itself as to the final due date of the assignment(s).</w:t>
      </w:r>
    </w:p>
    <w:p w14:paraId="46C91992" w14:textId="77777777" w:rsidR="00BD1F83" w:rsidRPr="00ED5D7A" w:rsidRDefault="00085EA8">
      <w:pPr>
        <w:pStyle w:val="Heading2"/>
      </w:pPr>
      <w:r w:rsidRPr="00ED5D7A">
        <w:t>Course Schedule</w:t>
      </w:r>
    </w:p>
    <w:tbl>
      <w:tblPr>
        <w:tblStyle w:val="a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5"/>
        <w:gridCol w:w="1350"/>
        <w:gridCol w:w="7913"/>
      </w:tblGrid>
      <w:tr w:rsidR="00BD1F83" w:rsidRPr="00ED5D7A" w14:paraId="15FBF53F" w14:textId="77777777" w:rsidTr="0099285A">
        <w:trPr>
          <w:trHeight w:val="432"/>
        </w:trPr>
        <w:tc>
          <w:tcPr>
            <w:tcW w:w="1195" w:type="dxa"/>
            <w:shd w:val="clear" w:color="auto" w:fill="auto"/>
          </w:tcPr>
          <w:p w14:paraId="4E0A1BB5" w14:textId="03D7BA4D" w:rsidR="00BD1F83" w:rsidRPr="00ED5D7A" w:rsidRDefault="003D35AE" w:rsidP="003D35AE">
            <w:pPr>
              <w:jc w:val="center"/>
              <w:rPr>
                <w:b/>
                <w:i/>
              </w:rPr>
            </w:pPr>
            <w:r>
              <w:rPr>
                <w:b/>
              </w:rPr>
              <w:t>Day</w:t>
            </w:r>
          </w:p>
        </w:tc>
        <w:tc>
          <w:tcPr>
            <w:tcW w:w="1350" w:type="dxa"/>
          </w:tcPr>
          <w:p w14:paraId="74D5C7FE" w14:textId="77777777" w:rsidR="00BD1F83" w:rsidRPr="00ED5D7A" w:rsidRDefault="00085EA8">
            <w:pPr>
              <w:jc w:val="center"/>
            </w:pPr>
            <w:r w:rsidRPr="00ED5D7A">
              <w:rPr>
                <w:b/>
              </w:rPr>
              <w:t>Date</w:t>
            </w:r>
          </w:p>
        </w:tc>
        <w:tc>
          <w:tcPr>
            <w:tcW w:w="7913" w:type="dxa"/>
          </w:tcPr>
          <w:p w14:paraId="486641ED" w14:textId="77777777" w:rsidR="00BD1F83" w:rsidRPr="00ED5D7A" w:rsidRDefault="00085EA8">
            <w:pPr>
              <w:rPr>
                <w:b/>
              </w:rPr>
            </w:pPr>
            <w:r w:rsidRPr="00ED5D7A">
              <w:rPr>
                <w:b/>
              </w:rPr>
              <w:t xml:space="preserve">Topics, Readings, Assignments, Deadlines </w:t>
            </w:r>
          </w:p>
        </w:tc>
      </w:tr>
      <w:tr w:rsidR="0099285A" w:rsidRPr="00ED5D7A" w14:paraId="5345AC76" w14:textId="77777777" w:rsidTr="0099285A">
        <w:trPr>
          <w:trHeight w:val="449"/>
        </w:trPr>
        <w:tc>
          <w:tcPr>
            <w:tcW w:w="1195" w:type="dxa"/>
            <w:tcBorders>
              <w:bottom w:val="single" w:sz="4" w:space="0" w:color="000000"/>
            </w:tcBorders>
            <w:vAlign w:val="center"/>
          </w:tcPr>
          <w:p w14:paraId="7DFC24AF" w14:textId="77777777" w:rsidR="0099285A" w:rsidRPr="0099285A" w:rsidRDefault="0099285A" w:rsidP="0099285A">
            <w:pPr>
              <w:jc w:val="center"/>
            </w:pPr>
            <w:r w:rsidRPr="0099285A">
              <w:t>1</w:t>
            </w:r>
          </w:p>
        </w:tc>
        <w:tc>
          <w:tcPr>
            <w:tcW w:w="1350" w:type="dxa"/>
            <w:tcBorders>
              <w:bottom w:val="single" w:sz="4" w:space="0" w:color="000000"/>
            </w:tcBorders>
            <w:vAlign w:val="center"/>
          </w:tcPr>
          <w:p w14:paraId="4D18539F" w14:textId="645A13C7" w:rsidR="0099285A" w:rsidRPr="0099285A" w:rsidRDefault="003441D6" w:rsidP="0099285A">
            <w:pPr>
              <w:jc w:val="center"/>
            </w:pPr>
            <w:r>
              <w:rPr>
                <w:color w:val="000000"/>
                <w:szCs w:val="22"/>
              </w:rPr>
              <w:t>5</w:t>
            </w:r>
            <w:r w:rsidR="0099285A" w:rsidRPr="0099285A">
              <w:rPr>
                <w:color w:val="000000"/>
                <w:szCs w:val="22"/>
              </w:rPr>
              <w:t>/</w:t>
            </w:r>
            <w:r>
              <w:rPr>
                <w:color w:val="000000"/>
                <w:szCs w:val="22"/>
              </w:rPr>
              <w:t>2</w:t>
            </w:r>
            <w:r w:rsidR="004C70BE">
              <w:rPr>
                <w:color w:val="000000"/>
                <w:szCs w:val="22"/>
              </w:rPr>
              <w:t>5</w:t>
            </w:r>
            <w:r w:rsidR="0099285A" w:rsidRPr="0099285A">
              <w:rPr>
                <w:color w:val="000000"/>
                <w:szCs w:val="22"/>
              </w:rPr>
              <w:t>/202</w:t>
            </w:r>
            <w:r w:rsidR="000A15F6">
              <w:rPr>
                <w:color w:val="000000"/>
                <w:szCs w:val="22"/>
              </w:rPr>
              <w:t>2</w:t>
            </w:r>
          </w:p>
        </w:tc>
        <w:tc>
          <w:tcPr>
            <w:tcW w:w="7913" w:type="dxa"/>
            <w:tcBorders>
              <w:bottom w:val="single" w:sz="4" w:space="0" w:color="000000"/>
            </w:tcBorders>
            <w:vAlign w:val="center"/>
          </w:tcPr>
          <w:p w14:paraId="7E591103" w14:textId="77777777" w:rsidR="0099285A" w:rsidRDefault="0099285A" w:rsidP="003441D6">
            <w:pPr>
              <w:rPr>
                <w:sz w:val="23"/>
                <w:szCs w:val="23"/>
              </w:rPr>
            </w:pPr>
            <w:r w:rsidRPr="0099285A">
              <w:rPr>
                <w:color w:val="000000"/>
                <w:szCs w:val="22"/>
              </w:rPr>
              <w:t xml:space="preserve">Syllabus, Introduction, </w:t>
            </w:r>
            <w:r w:rsidR="003441D6">
              <w:rPr>
                <w:sz w:val="23"/>
                <w:szCs w:val="23"/>
              </w:rPr>
              <w:t xml:space="preserve">Review of important concepts in finance and statistics; accounting theory, Chapter 1- The conceptual framework, standard-setting and technical research in accounting. </w:t>
            </w:r>
          </w:p>
          <w:p w14:paraId="394CD2F4" w14:textId="39EE8B63" w:rsidR="007D4878" w:rsidRPr="0099285A" w:rsidRDefault="007D4878" w:rsidP="003441D6">
            <w:r w:rsidRPr="007D4878">
              <w:rPr>
                <w:i/>
              </w:rPr>
              <w:t>(</w:t>
            </w:r>
            <w:r>
              <w:rPr>
                <w:i/>
              </w:rPr>
              <w:t xml:space="preserve">Class: </w:t>
            </w:r>
            <w:r w:rsidRPr="007D4878">
              <w:rPr>
                <w:i/>
              </w:rPr>
              <w:t>In person)</w:t>
            </w:r>
          </w:p>
        </w:tc>
      </w:tr>
      <w:tr w:rsidR="0099285A" w:rsidRPr="00ED5D7A" w14:paraId="37801FA2" w14:textId="77777777" w:rsidTr="0099285A">
        <w:trPr>
          <w:trHeight w:val="432"/>
        </w:trPr>
        <w:tc>
          <w:tcPr>
            <w:tcW w:w="1195" w:type="dxa"/>
            <w:vAlign w:val="center"/>
          </w:tcPr>
          <w:p w14:paraId="32F61232" w14:textId="283765D1" w:rsidR="0099285A" w:rsidRPr="0099285A" w:rsidRDefault="0099285A" w:rsidP="0099285A">
            <w:pPr>
              <w:jc w:val="center"/>
            </w:pPr>
            <w:r w:rsidRPr="0099285A">
              <w:t>2</w:t>
            </w:r>
          </w:p>
        </w:tc>
        <w:tc>
          <w:tcPr>
            <w:tcW w:w="1350" w:type="dxa"/>
            <w:vAlign w:val="center"/>
          </w:tcPr>
          <w:p w14:paraId="2524CE26" w14:textId="4B947A94" w:rsidR="0099285A" w:rsidRPr="0099285A" w:rsidRDefault="003441D6" w:rsidP="0099285A">
            <w:pPr>
              <w:jc w:val="center"/>
            </w:pPr>
            <w:r>
              <w:rPr>
                <w:color w:val="000000"/>
                <w:szCs w:val="22"/>
              </w:rPr>
              <w:t>5</w:t>
            </w:r>
            <w:r w:rsidR="0099285A" w:rsidRPr="0099285A">
              <w:rPr>
                <w:color w:val="000000"/>
                <w:szCs w:val="22"/>
              </w:rPr>
              <w:t>/</w:t>
            </w:r>
            <w:r>
              <w:rPr>
                <w:color w:val="000000"/>
                <w:szCs w:val="22"/>
              </w:rPr>
              <w:t>2</w:t>
            </w:r>
            <w:r w:rsidR="004C70BE">
              <w:rPr>
                <w:color w:val="000000"/>
                <w:szCs w:val="22"/>
              </w:rPr>
              <w:t>6</w:t>
            </w:r>
            <w:r w:rsidR="0099285A" w:rsidRPr="0099285A">
              <w:rPr>
                <w:color w:val="000000"/>
                <w:szCs w:val="22"/>
              </w:rPr>
              <w:t>/202</w:t>
            </w:r>
            <w:r w:rsidR="000A15F6">
              <w:rPr>
                <w:color w:val="000000"/>
                <w:szCs w:val="22"/>
              </w:rPr>
              <w:t>2</w:t>
            </w:r>
          </w:p>
        </w:tc>
        <w:tc>
          <w:tcPr>
            <w:tcW w:w="7913" w:type="dxa"/>
            <w:vAlign w:val="center"/>
          </w:tcPr>
          <w:p w14:paraId="4E97B130" w14:textId="77777777" w:rsidR="003441D6" w:rsidRDefault="003441D6" w:rsidP="003441D6">
            <w:pPr>
              <w:pStyle w:val="Default"/>
              <w:rPr>
                <w:sz w:val="23"/>
                <w:szCs w:val="23"/>
              </w:rPr>
            </w:pPr>
            <w:r>
              <w:rPr>
                <w:sz w:val="23"/>
                <w:szCs w:val="23"/>
              </w:rPr>
              <w:t xml:space="preserve">Chapter 2 – Review of the accounting process. </w:t>
            </w:r>
          </w:p>
          <w:p w14:paraId="2C756A43" w14:textId="77777777" w:rsidR="003441D6" w:rsidRDefault="003441D6" w:rsidP="003441D6">
            <w:pPr>
              <w:pStyle w:val="Default"/>
              <w:rPr>
                <w:sz w:val="23"/>
                <w:szCs w:val="23"/>
              </w:rPr>
            </w:pPr>
            <w:r>
              <w:rPr>
                <w:sz w:val="23"/>
                <w:szCs w:val="23"/>
              </w:rPr>
              <w:t xml:space="preserve">Chapter 3 – Balance sheet and financial disclosures. </w:t>
            </w:r>
          </w:p>
          <w:p w14:paraId="633E16C0" w14:textId="77777777" w:rsidR="0099285A" w:rsidRDefault="003441D6" w:rsidP="004C70BE">
            <w:pPr>
              <w:pStyle w:val="Default"/>
              <w:rPr>
                <w:sz w:val="23"/>
                <w:szCs w:val="23"/>
              </w:rPr>
            </w:pPr>
            <w:r>
              <w:rPr>
                <w:sz w:val="23"/>
                <w:szCs w:val="23"/>
              </w:rPr>
              <w:t xml:space="preserve">DUE: </w:t>
            </w:r>
            <w:r w:rsidR="00A97CD8">
              <w:rPr>
                <w:sz w:val="23"/>
                <w:szCs w:val="23"/>
              </w:rPr>
              <w:t>Chapter 1 Assignment</w:t>
            </w:r>
            <w:r>
              <w:rPr>
                <w:sz w:val="23"/>
                <w:szCs w:val="23"/>
              </w:rPr>
              <w:t xml:space="preserve"> </w:t>
            </w:r>
            <w:r w:rsidR="000A4130">
              <w:rPr>
                <w:sz w:val="23"/>
                <w:szCs w:val="23"/>
              </w:rPr>
              <w:t>(McGraw Hill Connect)</w:t>
            </w:r>
          </w:p>
          <w:p w14:paraId="1005544F" w14:textId="6446C23D" w:rsidR="007D4878" w:rsidRPr="004C70BE" w:rsidRDefault="007D4878" w:rsidP="004C70BE">
            <w:pPr>
              <w:pStyle w:val="Default"/>
              <w:rPr>
                <w:sz w:val="23"/>
                <w:szCs w:val="23"/>
              </w:rPr>
            </w:pPr>
            <w:r w:rsidRPr="007D4878">
              <w:rPr>
                <w:i/>
              </w:rPr>
              <w:t>(</w:t>
            </w:r>
            <w:r>
              <w:rPr>
                <w:i/>
              </w:rPr>
              <w:t xml:space="preserve">Class: </w:t>
            </w:r>
            <w:r w:rsidR="002768B0">
              <w:rPr>
                <w:i/>
              </w:rPr>
              <w:t>Online</w:t>
            </w:r>
            <w:r w:rsidRPr="007D4878">
              <w:rPr>
                <w:i/>
              </w:rPr>
              <w:t>)</w:t>
            </w:r>
          </w:p>
        </w:tc>
      </w:tr>
      <w:tr w:rsidR="0099285A" w:rsidRPr="00ED5D7A" w14:paraId="1218016A" w14:textId="77777777" w:rsidTr="0099285A">
        <w:trPr>
          <w:trHeight w:val="432"/>
        </w:trPr>
        <w:tc>
          <w:tcPr>
            <w:tcW w:w="1195" w:type="dxa"/>
            <w:vAlign w:val="center"/>
          </w:tcPr>
          <w:p w14:paraId="494A67E3" w14:textId="5CC3DB95" w:rsidR="0099285A" w:rsidRPr="0099285A" w:rsidRDefault="0099285A" w:rsidP="0099285A">
            <w:pPr>
              <w:jc w:val="center"/>
            </w:pPr>
            <w:r w:rsidRPr="0099285A">
              <w:t>3</w:t>
            </w:r>
          </w:p>
        </w:tc>
        <w:tc>
          <w:tcPr>
            <w:tcW w:w="1350" w:type="dxa"/>
            <w:vAlign w:val="center"/>
          </w:tcPr>
          <w:p w14:paraId="468047BB" w14:textId="24347080" w:rsidR="0099285A" w:rsidRPr="0099285A" w:rsidRDefault="003441D6" w:rsidP="0099285A">
            <w:pPr>
              <w:jc w:val="center"/>
            </w:pPr>
            <w:r>
              <w:rPr>
                <w:color w:val="000000"/>
                <w:szCs w:val="22"/>
              </w:rPr>
              <w:t>5</w:t>
            </w:r>
            <w:r w:rsidR="0099285A" w:rsidRPr="0099285A">
              <w:rPr>
                <w:color w:val="000000"/>
                <w:szCs w:val="22"/>
              </w:rPr>
              <w:t>/</w:t>
            </w:r>
            <w:r w:rsidR="004C70BE">
              <w:rPr>
                <w:color w:val="000000"/>
                <w:szCs w:val="22"/>
              </w:rPr>
              <w:t>31</w:t>
            </w:r>
            <w:r w:rsidR="0099285A" w:rsidRPr="0099285A">
              <w:rPr>
                <w:color w:val="000000"/>
                <w:szCs w:val="22"/>
              </w:rPr>
              <w:t>/202</w:t>
            </w:r>
            <w:r w:rsidR="000A15F6">
              <w:rPr>
                <w:color w:val="000000"/>
                <w:szCs w:val="22"/>
              </w:rPr>
              <w:t>2</w:t>
            </w:r>
          </w:p>
        </w:tc>
        <w:tc>
          <w:tcPr>
            <w:tcW w:w="7913" w:type="dxa"/>
            <w:vAlign w:val="center"/>
          </w:tcPr>
          <w:p w14:paraId="32E5316C" w14:textId="77777777" w:rsidR="003441D6" w:rsidRDefault="003441D6" w:rsidP="003441D6">
            <w:pPr>
              <w:pStyle w:val="Default"/>
              <w:rPr>
                <w:sz w:val="23"/>
                <w:szCs w:val="23"/>
              </w:rPr>
            </w:pPr>
            <w:r>
              <w:rPr>
                <w:sz w:val="23"/>
                <w:szCs w:val="23"/>
              </w:rPr>
              <w:t xml:space="preserve">Chapter 4 – Income statement, other comprehensive income, and the statement of cash flows </w:t>
            </w:r>
          </w:p>
          <w:p w14:paraId="7E62E4F3" w14:textId="6CF56D7C" w:rsidR="003441D6" w:rsidRDefault="003441D6" w:rsidP="003441D6">
            <w:pPr>
              <w:pStyle w:val="Default"/>
              <w:rPr>
                <w:sz w:val="23"/>
                <w:szCs w:val="23"/>
              </w:rPr>
            </w:pPr>
            <w:r>
              <w:rPr>
                <w:sz w:val="23"/>
                <w:szCs w:val="23"/>
              </w:rPr>
              <w:t xml:space="preserve">Chapter 6 – Revenue recognition and profitability analysis  </w:t>
            </w:r>
          </w:p>
          <w:p w14:paraId="32F63DBB" w14:textId="2DC8D23E" w:rsidR="003441D6" w:rsidRDefault="003441D6" w:rsidP="003441D6">
            <w:pPr>
              <w:pStyle w:val="Default"/>
              <w:rPr>
                <w:sz w:val="23"/>
                <w:szCs w:val="23"/>
              </w:rPr>
            </w:pPr>
            <w:r>
              <w:rPr>
                <w:sz w:val="23"/>
                <w:szCs w:val="23"/>
              </w:rPr>
              <w:t xml:space="preserve">DUE: </w:t>
            </w:r>
            <w:r w:rsidR="000A4130">
              <w:rPr>
                <w:sz w:val="23"/>
                <w:szCs w:val="23"/>
              </w:rPr>
              <w:t>Chapter 2 Assignment</w:t>
            </w:r>
          </w:p>
          <w:p w14:paraId="53986B71" w14:textId="77777777" w:rsidR="0099285A" w:rsidRDefault="003441D6" w:rsidP="003441D6">
            <w:pPr>
              <w:rPr>
                <w:sz w:val="23"/>
                <w:szCs w:val="23"/>
              </w:rPr>
            </w:pPr>
            <w:r>
              <w:rPr>
                <w:sz w:val="23"/>
                <w:szCs w:val="23"/>
              </w:rPr>
              <w:t xml:space="preserve">DUE: </w:t>
            </w:r>
            <w:r w:rsidR="000A4130">
              <w:rPr>
                <w:sz w:val="23"/>
                <w:szCs w:val="23"/>
              </w:rPr>
              <w:t>Chapter 3 Assignment</w:t>
            </w:r>
          </w:p>
          <w:p w14:paraId="424CA9B9" w14:textId="0054FB71" w:rsidR="007D4878" w:rsidRPr="0099285A" w:rsidRDefault="007D4878" w:rsidP="003441D6">
            <w:r w:rsidRPr="007D4878">
              <w:rPr>
                <w:i/>
              </w:rPr>
              <w:t>(</w:t>
            </w:r>
            <w:r>
              <w:rPr>
                <w:i/>
              </w:rPr>
              <w:t>Class: Online</w:t>
            </w:r>
            <w:r w:rsidRPr="007D4878">
              <w:rPr>
                <w:i/>
              </w:rPr>
              <w:t>)</w:t>
            </w:r>
          </w:p>
        </w:tc>
      </w:tr>
      <w:tr w:rsidR="003441D6" w:rsidRPr="00ED5D7A" w14:paraId="6EBBCD9E" w14:textId="77777777" w:rsidTr="0099285A">
        <w:trPr>
          <w:trHeight w:val="432"/>
        </w:trPr>
        <w:tc>
          <w:tcPr>
            <w:tcW w:w="1195" w:type="dxa"/>
            <w:vAlign w:val="center"/>
          </w:tcPr>
          <w:p w14:paraId="3DFB05DE" w14:textId="029ECD76" w:rsidR="003441D6" w:rsidRPr="0099285A" w:rsidRDefault="003441D6" w:rsidP="003441D6">
            <w:pPr>
              <w:jc w:val="center"/>
            </w:pPr>
            <w:r w:rsidRPr="0099285A">
              <w:t>4</w:t>
            </w:r>
          </w:p>
        </w:tc>
        <w:tc>
          <w:tcPr>
            <w:tcW w:w="1350" w:type="dxa"/>
            <w:vAlign w:val="center"/>
          </w:tcPr>
          <w:p w14:paraId="621CDEA0" w14:textId="6A167B4B" w:rsidR="003441D6" w:rsidRPr="0099285A" w:rsidRDefault="004C70BE" w:rsidP="003441D6">
            <w:pPr>
              <w:jc w:val="center"/>
            </w:pPr>
            <w:r>
              <w:rPr>
                <w:color w:val="000000"/>
                <w:szCs w:val="22"/>
              </w:rPr>
              <w:t>6</w:t>
            </w:r>
            <w:r w:rsidR="003441D6" w:rsidRPr="0099285A">
              <w:rPr>
                <w:color w:val="000000"/>
                <w:szCs w:val="22"/>
              </w:rPr>
              <w:t>/</w:t>
            </w:r>
            <w:r>
              <w:rPr>
                <w:color w:val="000000"/>
                <w:szCs w:val="22"/>
              </w:rPr>
              <w:t>1</w:t>
            </w:r>
            <w:r w:rsidR="003441D6" w:rsidRPr="0099285A">
              <w:rPr>
                <w:color w:val="000000"/>
                <w:szCs w:val="22"/>
              </w:rPr>
              <w:t>/202</w:t>
            </w:r>
            <w:r w:rsidR="000A15F6">
              <w:rPr>
                <w:color w:val="000000"/>
                <w:szCs w:val="22"/>
              </w:rPr>
              <w:t>2</w:t>
            </w:r>
          </w:p>
        </w:tc>
        <w:tc>
          <w:tcPr>
            <w:tcW w:w="7913" w:type="dxa"/>
            <w:vAlign w:val="center"/>
          </w:tcPr>
          <w:p w14:paraId="281AB193" w14:textId="77777777" w:rsidR="003441D6" w:rsidRDefault="003441D6" w:rsidP="003441D6">
            <w:pPr>
              <w:pStyle w:val="Default"/>
              <w:rPr>
                <w:sz w:val="23"/>
                <w:szCs w:val="23"/>
              </w:rPr>
            </w:pPr>
            <w:r>
              <w:rPr>
                <w:sz w:val="23"/>
                <w:szCs w:val="23"/>
              </w:rPr>
              <w:t xml:space="preserve">Chapter 6 – Revenue recognition and profitability analysis </w:t>
            </w:r>
          </w:p>
          <w:p w14:paraId="231B294C" w14:textId="77777777" w:rsidR="003441D6" w:rsidRDefault="003441D6" w:rsidP="003441D6">
            <w:pPr>
              <w:pStyle w:val="Default"/>
              <w:rPr>
                <w:sz w:val="23"/>
                <w:szCs w:val="23"/>
              </w:rPr>
            </w:pPr>
            <w:r>
              <w:rPr>
                <w:sz w:val="23"/>
                <w:szCs w:val="23"/>
              </w:rPr>
              <w:t xml:space="preserve">Chapter 7 – Cash and receivables </w:t>
            </w:r>
          </w:p>
          <w:p w14:paraId="7CC74319" w14:textId="77777777" w:rsidR="003441D6" w:rsidRDefault="003441D6" w:rsidP="003441D6">
            <w:pPr>
              <w:rPr>
                <w:sz w:val="23"/>
                <w:szCs w:val="23"/>
              </w:rPr>
            </w:pPr>
            <w:r>
              <w:rPr>
                <w:sz w:val="23"/>
                <w:szCs w:val="23"/>
              </w:rPr>
              <w:t xml:space="preserve">DUE: </w:t>
            </w:r>
            <w:r w:rsidR="000A4130">
              <w:rPr>
                <w:sz w:val="23"/>
                <w:szCs w:val="23"/>
              </w:rPr>
              <w:t>Chapter 4 Assignment</w:t>
            </w:r>
          </w:p>
          <w:p w14:paraId="08959D2F" w14:textId="1952069C" w:rsidR="007D4878" w:rsidRPr="007D4878" w:rsidRDefault="007D4878" w:rsidP="003441D6">
            <w:pPr>
              <w:rPr>
                <w:i/>
              </w:rPr>
            </w:pPr>
            <w:r w:rsidRPr="007D4878">
              <w:rPr>
                <w:i/>
              </w:rPr>
              <w:t>(</w:t>
            </w:r>
            <w:r>
              <w:rPr>
                <w:i/>
              </w:rPr>
              <w:t xml:space="preserve">Class: </w:t>
            </w:r>
            <w:r w:rsidRPr="007D4878">
              <w:rPr>
                <w:i/>
              </w:rPr>
              <w:t>In person)</w:t>
            </w:r>
          </w:p>
        </w:tc>
      </w:tr>
      <w:tr w:rsidR="003441D6" w:rsidRPr="00ED5D7A" w14:paraId="0C3682BE" w14:textId="77777777" w:rsidTr="0099285A">
        <w:trPr>
          <w:trHeight w:val="432"/>
        </w:trPr>
        <w:tc>
          <w:tcPr>
            <w:tcW w:w="1195" w:type="dxa"/>
            <w:vAlign w:val="center"/>
          </w:tcPr>
          <w:p w14:paraId="35CC136C" w14:textId="3513E387" w:rsidR="003441D6" w:rsidRPr="0099285A" w:rsidRDefault="003441D6" w:rsidP="003441D6">
            <w:pPr>
              <w:jc w:val="center"/>
            </w:pPr>
            <w:r w:rsidRPr="0099285A">
              <w:t>5</w:t>
            </w:r>
          </w:p>
        </w:tc>
        <w:tc>
          <w:tcPr>
            <w:tcW w:w="1350" w:type="dxa"/>
            <w:vAlign w:val="center"/>
          </w:tcPr>
          <w:p w14:paraId="7111D4CC" w14:textId="336A60BB" w:rsidR="003441D6" w:rsidRPr="0099285A" w:rsidRDefault="004C70BE" w:rsidP="003441D6">
            <w:pPr>
              <w:jc w:val="center"/>
            </w:pPr>
            <w:r>
              <w:rPr>
                <w:color w:val="000000"/>
                <w:szCs w:val="22"/>
              </w:rPr>
              <w:t>6</w:t>
            </w:r>
            <w:r w:rsidR="003441D6" w:rsidRPr="0099285A">
              <w:rPr>
                <w:color w:val="000000"/>
                <w:szCs w:val="22"/>
              </w:rPr>
              <w:t>/</w:t>
            </w:r>
            <w:r w:rsidR="003441D6">
              <w:rPr>
                <w:color w:val="000000"/>
                <w:szCs w:val="22"/>
              </w:rPr>
              <w:t>2</w:t>
            </w:r>
            <w:r w:rsidR="003441D6" w:rsidRPr="0099285A">
              <w:rPr>
                <w:color w:val="000000"/>
                <w:szCs w:val="22"/>
              </w:rPr>
              <w:t>/202</w:t>
            </w:r>
            <w:r w:rsidR="000A15F6">
              <w:rPr>
                <w:color w:val="000000"/>
                <w:szCs w:val="22"/>
              </w:rPr>
              <w:t>2</w:t>
            </w:r>
          </w:p>
        </w:tc>
        <w:tc>
          <w:tcPr>
            <w:tcW w:w="7913" w:type="dxa"/>
            <w:vAlign w:val="center"/>
          </w:tcPr>
          <w:p w14:paraId="31A00A3D" w14:textId="77777777" w:rsidR="003441D6" w:rsidRDefault="003441D6" w:rsidP="003441D6">
            <w:pPr>
              <w:pStyle w:val="Default"/>
              <w:rPr>
                <w:sz w:val="23"/>
                <w:szCs w:val="23"/>
              </w:rPr>
            </w:pPr>
            <w:r>
              <w:rPr>
                <w:b/>
                <w:bCs/>
                <w:sz w:val="23"/>
                <w:szCs w:val="23"/>
              </w:rPr>
              <w:t xml:space="preserve">Midterm Examination (Ch. 1-7) </w:t>
            </w:r>
          </w:p>
          <w:p w14:paraId="63B5A5FE" w14:textId="77777777" w:rsidR="003441D6" w:rsidRDefault="003441D6" w:rsidP="003441D6">
            <w:pPr>
              <w:pStyle w:val="Default"/>
              <w:rPr>
                <w:sz w:val="23"/>
                <w:szCs w:val="23"/>
              </w:rPr>
            </w:pPr>
            <w:r>
              <w:rPr>
                <w:sz w:val="23"/>
                <w:szCs w:val="23"/>
              </w:rPr>
              <w:t xml:space="preserve">Chapter 8 – Inventories: measurement. </w:t>
            </w:r>
          </w:p>
          <w:p w14:paraId="4AADE753" w14:textId="708A3E59" w:rsidR="003441D6" w:rsidRDefault="003441D6" w:rsidP="003441D6">
            <w:pPr>
              <w:pStyle w:val="Default"/>
              <w:rPr>
                <w:sz w:val="23"/>
                <w:szCs w:val="23"/>
              </w:rPr>
            </w:pPr>
            <w:r>
              <w:rPr>
                <w:sz w:val="23"/>
                <w:szCs w:val="23"/>
              </w:rPr>
              <w:t xml:space="preserve">DUE: </w:t>
            </w:r>
            <w:r w:rsidR="000A4130">
              <w:rPr>
                <w:sz w:val="23"/>
                <w:szCs w:val="23"/>
              </w:rPr>
              <w:t>Chapter 6 Assignment</w:t>
            </w:r>
          </w:p>
          <w:p w14:paraId="5EBF5F44" w14:textId="77777777" w:rsidR="003441D6" w:rsidRDefault="003441D6" w:rsidP="003441D6">
            <w:pPr>
              <w:rPr>
                <w:sz w:val="23"/>
                <w:szCs w:val="23"/>
              </w:rPr>
            </w:pPr>
            <w:r>
              <w:rPr>
                <w:sz w:val="23"/>
                <w:szCs w:val="23"/>
              </w:rPr>
              <w:t xml:space="preserve">DUE: </w:t>
            </w:r>
            <w:r w:rsidR="000A4130">
              <w:rPr>
                <w:sz w:val="23"/>
                <w:szCs w:val="23"/>
              </w:rPr>
              <w:t>Chapter 7 Assignment</w:t>
            </w:r>
          </w:p>
          <w:p w14:paraId="541D89A6" w14:textId="6EB68C7E" w:rsidR="007D4878" w:rsidRPr="0099285A" w:rsidRDefault="007D4878" w:rsidP="003441D6">
            <w:r w:rsidRPr="007D4878">
              <w:rPr>
                <w:i/>
              </w:rPr>
              <w:t>(</w:t>
            </w:r>
            <w:r>
              <w:rPr>
                <w:i/>
              </w:rPr>
              <w:t xml:space="preserve">Class: </w:t>
            </w:r>
            <w:r w:rsidRPr="007D4878">
              <w:rPr>
                <w:i/>
              </w:rPr>
              <w:t>In person)</w:t>
            </w:r>
          </w:p>
        </w:tc>
      </w:tr>
      <w:tr w:rsidR="003441D6" w:rsidRPr="00ED5D7A" w14:paraId="3342609E" w14:textId="77777777" w:rsidTr="0099285A">
        <w:trPr>
          <w:trHeight w:val="432"/>
        </w:trPr>
        <w:tc>
          <w:tcPr>
            <w:tcW w:w="1195" w:type="dxa"/>
            <w:vAlign w:val="center"/>
          </w:tcPr>
          <w:p w14:paraId="224279E8" w14:textId="132EFF04" w:rsidR="003441D6" w:rsidRPr="0099285A" w:rsidRDefault="003441D6" w:rsidP="003441D6">
            <w:pPr>
              <w:jc w:val="center"/>
            </w:pPr>
            <w:r w:rsidRPr="0099285A">
              <w:t>6</w:t>
            </w:r>
          </w:p>
        </w:tc>
        <w:tc>
          <w:tcPr>
            <w:tcW w:w="1350" w:type="dxa"/>
            <w:vAlign w:val="center"/>
          </w:tcPr>
          <w:p w14:paraId="6B4B8CAD" w14:textId="0DA60D18" w:rsidR="003441D6" w:rsidRPr="0099285A" w:rsidRDefault="00C43341" w:rsidP="003441D6">
            <w:pPr>
              <w:jc w:val="center"/>
            </w:pPr>
            <w:r>
              <w:rPr>
                <w:color w:val="000000"/>
                <w:szCs w:val="22"/>
              </w:rPr>
              <w:t>6</w:t>
            </w:r>
            <w:r w:rsidR="003441D6" w:rsidRPr="0099285A">
              <w:rPr>
                <w:color w:val="000000"/>
                <w:szCs w:val="22"/>
              </w:rPr>
              <w:t>/</w:t>
            </w:r>
            <w:r w:rsidR="004C70BE">
              <w:rPr>
                <w:color w:val="000000"/>
                <w:szCs w:val="22"/>
              </w:rPr>
              <w:t>3</w:t>
            </w:r>
            <w:r w:rsidR="003441D6" w:rsidRPr="0099285A">
              <w:rPr>
                <w:color w:val="000000"/>
                <w:szCs w:val="22"/>
              </w:rPr>
              <w:t>/202</w:t>
            </w:r>
            <w:r w:rsidR="000A15F6">
              <w:rPr>
                <w:color w:val="000000"/>
                <w:szCs w:val="22"/>
              </w:rPr>
              <w:t>2</w:t>
            </w:r>
          </w:p>
        </w:tc>
        <w:tc>
          <w:tcPr>
            <w:tcW w:w="7913" w:type="dxa"/>
            <w:vAlign w:val="center"/>
          </w:tcPr>
          <w:p w14:paraId="2B13289A" w14:textId="77777777" w:rsidR="003441D6" w:rsidRDefault="003441D6" w:rsidP="003441D6">
            <w:pPr>
              <w:pStyle w:val="Default"/>
              <w:rPr>
                <w:sz w:val="23"/>
                <w:szCs w:val="23"/>
              </w:rPr>
            </w:pPr>
            <w:r>
              <w:rPr>
                <w:sz w:val="23"/>
                <w:szCs w:val="23"/>
              </w:rPr>
              <w:t xml:space="preserve">Chapter 9 – Inventories: additional issues. </w:t>
            </w:r>
          </w:p>
          <w:p w14:paraId="190959EA" w14:textId="77777777" w:rsidR="003441D6" w:rsidRDefault="003441D6" w:rsidP="003441D6">
            <w:pPr>
              <w:pStyle w:val="Default"/>
              <w:rPr>
                <w:sz w:val="23"/>
                <w:szCs w:val="23"/>
              </w:rPr>
            </w:pPr>
            <w:r>
              <w:rPr>
                <w:sz w:val="23"/>
                <w:szCs w:val="23"/>
              </w:rPr>
              <w:t xml:space="preserve">Chapter 10 – Plant, property, and equipment and intangible assets: acquisition and disposition. </w:t>
            </w:r>
          </w:p>
          <w:p w14:paraId="5384838A" w14:textId="77777777" w:rsidR="003441D6" w:rsidRDefault="003441D6" w:rsidP="003441D6">
            <w:pPr>
              <w:rPr>
                <w:sz w:val="23"/>
                <w:szCs w:val="23"/>
              </w:rPr>
            </w:pPr>
            <w:r>
              <w:rPr>
                <w:sz w:val="23"/>
                <w:szCs w:val="23"/>
              </w:rPr>
              <w:t xml:space="preserve">DUE: </w:t>
            </w:r>
            <w:r w:rsidR="000A4130">
              <w:rPr>
                <w:sz w:val="23"/>
                <w:szCs w:val="23"/>
              </w:rPr>
              <w:t>Chapter 8 Assignment</w:t>
            </w:r>
            <w:r w:rsidR="005D5FE5">
              <w:rPr>
                <w:sz w:val="23"/>
                <w:szCs w:val="23"/>
              </w:rPr>
              <w:t>; Mini-case 1</w:t>
            </w:r>
          </w:p>
          <w:p w14:paraId="4C60A90E" w14:textId="2179CF14" w:rsidR="007D4878" w:rsidRPr="0099285A" w:rsidRDefault="007D4878" w:rsidP="003441D6">
            <w:r w:rsidRPr="007D4878">
              <w:rPr>
                <w:i/>
              </w:rPr>
              <w:t>(</w:t>
            </w:r>
            <w:r>
              <w:rPr>
                <w:i/>
              </w:rPr>
              <w:t>Class: Online</w:t>
            </w:r>
            <w:r w:rsidRPr="007D4878">
              <w:rPr>
                <w:i/>
              </w:rPr>
              <w:t>)</w:t>
            </w:r>
          </w:p>
        </w:tc>
      </w:tr>
      <w:tr w:rsidR="003441D6" w:rsidRPr="00ED5D7A" w14:paraId="57E008FD" w14:textId="77777777" w:rsidTr="0099285A">
        <w:trPr>
          <w:trHeight w:val="432"/>
        </w:trPr>
        <w:tc>
          <w:tcPr>
            <w:tcW w:w="1195" w:type="dxa"/>
            <w:vAlign w:val="center"/>
          </w:tcPr>
          <w:p w14:paraId="148161C5" w14:textId="6BC9AB61" w:rsidR="003441D6" w:rsidRPr="0099285A" w:rsidRDefault="003441D6" w:rsidP="003441D6">
            <w:pPr>
              <w:jc w:val="center"/>
            </w:pPr>
            <w:r w:rsidRPr="0099285A">
              <w:t>7</w:t>
            </w:r>
          </w:p>
        </w:tc>
        <w:tc>
          <w:tcPr>
            <w:tcW w:w="1350" w:type="dxa"/>
            <w:vAlign w:val="center"/>
          </w:tcPr>
          <w:p w14:paraId="42908A46" w14:textId="5CEAE4B7" w:rsidR="003441D6" w:rsidRPr="0099285A" w:rsidRDefault="005F09A6" w:rsidP="003441D6">
            <w:pPr>
              <w:jc w:val="center"/>
            </w:pPr>
            <w:r>
              <w:rPr>
                <w:color w:val="000000"/>
                <w:szCs w:val="22"/>
              </w:rPr>
              <w:t>6</w:t>
            </w:r>
            <w:r w:rsidR="003441D6" w:rsidRPr="0099285A">
              <w:rPr>
                <w:color w:val="000000"/>
                <w:szCs w:val="22"/>
              </w:rPr>
              <w:t>/</w:t>
            </w:r>
            <w:r w:rsidR="004C70BE">
              <w:rPr>
                <w:color w:val="000000"/>
                <w:szCs w:val="22"/>
              </w:rPr>
              <w:t>6</w:t>
            </w:r>
            <w:r w:rsidR="003441D6" w:rsidRPr="0099285A">
              <w:rPr>
                <w:color w:val="000000"/>
                <w:szCs w:val="22"/>
              </w:rPr>
              <w:t>/202</w:t>
            </w:r>
            <w:r w:rsidR="000A15F6">
              <w:rPr>
                <w:color w:val="000000"/>
                <w:szCs w:val="22"/>
              </w:rPr>
              <w:t>2</w:t>
            </w:r>
          </w:p>
        </w:tc>
        <w:tc>
          <w:tcPr>
            <w:tcW w:w="7913" w:type="dxa"/>
            <w:vAlign w:val="center"/>
          </w:tcPr>
          <w:p w14:paraId="5E81FE02" w14:textId="77777777" w:rsidR="005F09A6" w:rsidRDefault="005F09A6" w:rsidP="005F09A6">
            <w:pPr>
              <w:pStyle w:val="Default"/>
              <w:rPr>
                <w:sz w:val="23"/>
                <w:szCs w:val="23"/>
              </w:rPr>
            </w:pPr>
            <w:r>
              <w:rPr>
                <w:sz w:val="23"/>
                <w:szCs w:val="23"/>
              </w:rPr>
              <w:t xml:space="preserve">Chapter 10 – Plant, property, and equipment and intangible assets: acquisition and disposition. </w:t>
            </w:r>
          </w:p>
          <w:p w14:paraId="20327722" w14:textId="77777777" w:rsidR="003441D6" w:rsidRDefault="005F09A6" w:rsidP="005F09A6">
            <w:pPr>
              <w:rPr>
                <w:sz w:val="23"/>
                <w:szCs w:val="23"/>
              </w:rPr>
            </w:pPr>
            <w:r>
              <w:rPr>
                <w:sz w:val="23"/>
                <w:szCs w:val="23"/>
              </w:rPr>
              <w:t xml:space="preserve">DUE: </w:t>
            </w:r>
            <w:r w:rsidR="000A4130">
              <w:rPr>
                <w:sz w:val="23"/>
                <w:szCs w:val="23"/>
              </w:rPr>
              <w:t>Chapter 9 Assignment</w:t>
            </w:r>
          </w:p>
          <w:p w14:paraId="3E1572C0" w14:textId="4B110F12" w:rsidR="007D4878" w:rsidRPr="0099285A" w:rsidRDefault="007D4878" w:rsidP="005F09A6">
            <w:r w:rsidRPr="007D4878">
              <w:rPr>
                <w:i/>
              </w:rPr>
              <w:t>(</w:t>
            </w:r>
            <w:r>
              <w:rPr>
                <w:i/>
              </w:rPr>
              <w:t xml:space="preserve">Class: </w:t>
            </w:r>
            <w:r w:rsidRPr="007D4878">
              <w:rPr>
                <w:i/>
              </w:rPr>
              <w:t>In person)</w:t>
            </w:r>
          </w:p>
        </w:tc>
      </w:tr>
      <w:tr w:rsidR="003441D6" w:rsidRPr="00ED5D7A" w14:paraId="73712905" w14:textId="77777777" w:rsidTr="0099285A">
        <w:trPr>
          <w:trHeight w:val="432"/>
        </w:trPr>
        <w:tc>
          <w:tcPr>
            <w:tcW w:w="1195" w:type="dxa"/>
            <w:tcBorders>
              <w:bottom w:val="single" w:sz="4" w:space="0" w:color="000000"/>
            </w:tcBorders>
            <w:vAlign w:val="center"/>
          </w:tcPr>
          <w:p w14:paraId="48C5B890" w14:textId="234FF148" w:rsidR="003441D6" w:rsidRPr="0099285A" w:rsidRDefault="003441D6" w:rsidP="003441D6">
            <w:pPr>
              <w:jc w:val="center"/>
            </w:pPr>
            <w:r w:rsidRPr="0099285A">
              <w:t>8</w:t>
            </w:r>
          </w:p>
        </w:tc>
        <w:tc>
          <w:tcPr>
            <w:tcW w:w="1350" w:type="dxa"/>
            <w:tcBorders>
              <w:bottom w:val="single" w:sz="4" w:space="0" w:color="000000"/>
            </w:tcBorders>
            <w:vAlign w:val="center"/>
          </w:tcPr>
          <w:p w14:paraId="6446404E" w14:textId="6F15FF7E" w:rsidR="003441D6" w:rsidRPr="0099285A" w:rsidRDefault="005F09A6" w:rsidP="003441D6">
            <w:pPr>
              <w:jc w:val="center"/>
            </w:pPr>
            <w:r>
              <w:rPr>
                <w:color w:val="000000"/>
                <w:szCs w:val="22"/>
              </w:rPr>
              <w:t>6</w:t>
            </w:r>
            <w:r w:rsidRPr="0099285A">
              <w:rPr>
                <w:color w:val="000000"/>
                <w:szCs w:val="22"/>
              </w:rPr>
              <w:t>/</w:t>
            </w:r>
            <w:r w:rsidR="004C70BE">
              <w:rPr>
                <w:color w:val="000000"/>
                <w:szCs w:val="22"/>
              </w:rPr>
              <w:t>7</w:t>
            </w:r>
            <w:r w:rsidRPr="0099285A">
              <w:rPr>
                <w:color w:val="000000"/>
                <w:szCs w:val="22"/>
              </w:rPr>
              <w:t>/202</w:t>
            </w:r>
            <w:r w:rsidR="000A15F6">
              <w:rPr>
                <w:color w:val="000000"/>
                <w:szCs w:val="22"/>
              </w:rPr>
              <w:t>2</w:t>
            </w:r>
          </w:p>
        </w:tc>
        <w:tc>
          <w:tcPr>
            <w:tcW w:w="7913" w:type="dxa"/>
            <w:tcBorders>
              <w:bottom w:val="single" w:sz="4" w:space="0" w:color="000000"/>
            </w:tcBorders>
            <w:vAlign w:val="center"/>
          </w:tcPr>
          <w:p w14:paraId="22502D6A" w14:textId="77777777" w:rsidR="005F09A6" w:rsidRDefault="005F09A6" w:rsidP="005F09A6">
            <w:pPr>
              <w:pStyle w:val="Default"/>
              <w:rPr>
                <w:sz w:val="23"/>
                <w:szCs w:val="23"/>
              </w:rPr>
            </w:pPr>
            <w:r>
              <w:rPr>
                <w:sz w:val="23"/>
                <w:szCs w:val="23"/>
              </w:rPr>
              <w:t xml:space="preserve">Chapter 11 – Plant, property, and equipment and intangible assets: utilization and impairment. </w:t>
            </w:r>
          </w:p>
          <w:p w14:paraId="76AAED4C" w14:textId="77777777" w:rsidR="003441D6" w:rsidRDefault="005F09A6" w:rsidP="005F09A6">
            <w:pPr>
              <w:rPr>
                <w:sz w:val="23"/>
                <w:szCs w:val="23"/>
              </w:rPr>
            </w:pPr>
            <w:r>
              <w:rPr>
                <w:sz w:val="23"/>
                <w:szCs w:val="23"/>
              </w:rPr>
              <w:t xml:space="preserve">DUE: </w:t>
            </w:r>
            <w:r w:rsidR="000A4130">
              <w:rPr>
                <w:sz w:val="23"/>
                <w:szCs w:val="23"/>
              </w:rPr>
              <w:t>Chapter 10 Assignment</w:t>
            </w:r>
          </w:p>
          <w:p w14:paraId="761DE1ED" w14:textId="64D30093" w:rsidR="007D4878" w:rsidRPr="0099285A" w:rsidRDefault="007D4878" w:rsidP="005F09A6">
            <w:r w:rsidRPr="007D4878">
              <w:rPr>
                <w:i/>
              </w:rPr>
              <w:t>(</w:t>
            </w:r>
            <w:r>
              <w:rPr>
                <w:i/>
              </w:rPr>
              <w:t>Class: Online</w:t>
            </w:r>
            <w:r w:rsidRPr="007D4878">
              <w:rPr>
                <w:i/>
              </w:rPr>
              <w:t>)</w:t>
            </w:r>
          </w:p>
        </w:tc>
      </w:tr>
      <w:tr w:rsidR="003441D6" w:rsidRPr="00ED5D7A" w14:paraId="0732C01B" w14:textId="77777777" w:rsidTr="0099285A">
        <w:trPr>
          <w:trHeight w:val="432"/>
        </w:trPr>
        <w:tc>
          <w:tcPr>
            <w:tcW w:w="1195" w:type="dxa"/>
            <w:tcBorders>
              <w:bottom w:val="single" w:sz="4" w:space="0" w:color="000000"/>
            </w:tcBorders>
            <w:vAlign w:val="center"/>
          </w:tcPr>
          <w:p w14:paraId="573FA29F" w14:textId="7ED84468" w:rsidR="003441D6" w:rsidRPr="0099285A" w:rsidRDefault="003441D6" w:rsidP="003441D6">
            <w:pPr>
              <w:jc w:val="center"/>
            </w:pPr>
            <w:r w:rsidRPr="0099285A">
              <w:lastRenderedPageBreak/>
              <w:t>9</w:t>
            </w:r>
          </w:p>
        </w:tc>
        <w:tc>
          <w:tcPr>
            <w:tcW w:w="1350" w:type="dxa"/>
            <w:tcBorders>
              <w:bottom w:val="single" w:sz="4" w:space="0" w:color="000000"/>
            </w:tcBorders>
            <w:vAlign w:val="center"/>
          </w:tcPr>
          <w:p w14:paraId="3F4E86B4" w14:textId="642EA52C" w:rsidR="003441D6" w:rsidRPr="0099285A" w:rsidRDefault="005F09A6" w:rsidP="003441D6">
            <w:pPr>
              <w:jc w:val="center"/>
            </w:pPr>
            <w:r>
              <w:rPr>
                <w:color w:val="000000"/>
                <w:szCs w:val="22"/>
              </w:rPr>
              <w:t>6</w:t>
            </w:r>
            <w:r w:rsidRPr="0099285A">
              <w:rPr>
                <w:color w:val="000000"/>
                <w:szCs w:val="22"/>
              </w:rPr>
              <w:t>/</w:t>
            </w:r>
            <w:r w:rsidR="004C70BE">
              <w:rPr>
                <w:color w:val="000000"/>
                <w:szCs w:val="22"/>
              </w:rPr>
              <w:t>9</w:t>
            </w:r>
            <w:r w:rsidRPr="0099285A">
              <w:rPr>
                <w:color w:val="000000"/>
                <w:szCs w:val="22"/>
              </w:rPr>
              <w:t>/202</w:t>
            </w:r>
            <w:r w:rsidR="000A15F6">
              <w:rPr>
                <w:color w:val="000000"/>
                <w:szCs w:val="22"/>
              </w:rPr>
              <w:t>2</w:t>
            </w:r>
          </w:p>
        </w:tc>
        <w:tc>
          <w:tcPr>
            <w:tcW w:w="7913" w:type="dxa"/>
            <w:tcBorders>
              <w:bottom w:val="single" w:sz="4" w:space="0" w:color="000000"/>
            </w:tcBorders>
            <w:vAlign w:val="center"/>
          </w:tcPr>
          <w:p w14:paraId="2B70DFF6" w14:textId="77777777" w:rsidR="005F09A6" w:rsidRDefault="005F09A6" w:rsidP="005F09A6">
            <w:pPr>
              <w:pStyle w:val="Default"/>
              <w:rPr>
                <w:sz w:val="23"/>
                <w:szCs w:val="23"/>
              </w:rPr>
            </w:pPr>
            <w:r>
              <w:rPr>
                <w:sz w:val="23"/>
                <w:szCs w:val="23"/>
              </w:rPr>
              <w:t xml:space="preserve">Chapter 20 – Accounting changes and error correction. </w:t>
            </w:r>
          </w:p>
          <w:p w14:paraId="244C9917" w14:textId="77777777" w:rsidR="005F09A6" w:rsidRDefault="005F09A6" w:rsidP="005F09A6">
            <w:pPr>
              <w:pStyle w:val="Default"/>
              <w:rPr>
                <w:sz w:val="23"/>
                <w:szCs w:val="23"/>
              </w:rPr>
            </w:pPr>
            <w:r>
              <w:rPr>
                <w:sz w:val="23"/>
                <w:szCs w:val="23"/>
              </w:rPr>
              <w:t xml:space="preserve">Chapter 12 – Investments. </w:t>
            </w:r>
          </w:p>
          <w:p w14:paraId="6CC1F39D" w14:textId="77777777" w:rsidR="003441D6" w:rsidRDefault="000A4130" w:rsidP="005F09A6">
            <w:pPr>
              <w:rPr>
                <w:sz w:val="23"/>
                <w:szCs w:val="23"/>
              </w:rPr>
            </w:pPr>
            <w:r>
              <w:rPr>
                <w:sz w:val="23"/>
                <w:szCs w:val="23"/>
              </w:rPr>
              <w:t>DUE: Chapter 11 Assignment</w:t>
            </w:r>
            <w:r w:rsidR="005D5FE5">
              <w:rPr>
                <w:sz w:val="23"/>
                <w:szCs w:val="23"/>
              </w:rPr>
              <w:t>; Mini-case 2</w:t>
            </w:r>
          </w:p>
          <w:p w14:paraId="4292722B" w14:textId="639B1CFD" w:rsidR="007D4878" w:rsidRPr="0099285A" w:rsidRDefault="007D4878" w:rsidP="005F09A6">
            <w:r w:rsidRPr="007D4878">
              <w:rPr>
                <w:i/>
              </w:rPr>
              <w:t>(</w:t>
            </w:r>
            <w:r>
              <w:rPr>
                <w:i/>
              </w:rPr>
              <w:t xml:space="preserve">Class: </w:t>
            </w:r>
            <w:r w:rsidR="002768B0">
              <w:rPr>
                <w:i/>
              </w:rPr>
              <w:t>In person</w:t>
            </w:r>
            <w:r w:rsidRPr="007D4878">
              <w:rPr>
                <w:i/>
              </w:rPr>
              <w:t>)</w:t>
            </w:r>
          </w:p>
        </w:tc>
      </w:tr>
      <w:tr w:rsidR="003441D6" w:rsidRPr="00ED5D7A" w14:paraId="0EB4646F" w14:textId="77777777" w:rsidTr="0099285A">
        <w:trPr>
          <w:trHeight w:val="432"/>
        </w:trPr>
        <w:tc>
          <w:tcPr>
            <w:tcW w:w="1195" w:type="dxa"/>
            <w:vAlign w:val="center"/>
          </w:tcPr>
          <w:p w14:paraId="41006F2D" w14:textId="2E839370" w:rsidR="003441D6" w:rsidRPr="0099285A" w:rsidRDefault="003441D6" w:rsidP="003441D6">
            <w:pPr>
              <w:jc w:val="center"/>
            </w:pPr>
            <w:r w:rsidRPr="0099285A">
              <w:t>10</w:t>
            </w:r>
          </w:p>
        </w:tc>
        <w:tc>
          <w:tcPr>
            <w:tcW w:w="1350" w:type="dxa"/>
            <w:vAlign w:val="center"/>
          </w:tcPr>
          <w:p w14:paraId="48B5E0FF" w14:textId="0CA02EB5" w:rsidR="003441D6" w:rsidRPr="0099285A" w:rsidRDefault="005F09A6" w:rsidP="003441D6">
            <w:pPr>
              <w:jc w:val="center"/>
            </w:pPr>
            <w:r>
              <w:rPr>
                <w:color w:val="000000"/>
                <w:szCs w:val="22"/>
              </w:rPr>
              <w:t>6</w:t>
            </w:r>
            <w:r w:rsidRPr="0099285A">
              <w:rPr>
                <w:color w:val="000000"/>
                <w:szCs w:val="22"/>
              </w:rPr>
              <w:t>/</w:t>
            </w:r>
            <w:r w:rsidR="004C70BE">
              <w:rPr>
                <w:color w:val="000000"/>
                <w:szCs w:val="22"/>
              </w:rPr>
              <w:t>10</w:t>
            </w:r>
            <w:r w:rsidRPr="0099285A">
              <w:rPr>
                <w:color w:val="000000"/>
                <w:szCs w:val="22"/>
              </w:rPr>
              <w:t>/202</w:t>
            </w:r>
            <w:r w:rsidR="000A15F6">
              <w:rPr>
                <w:color w:val="000000"/>
                <w:szCs w:val="22"/>
              </w:rPr>
              <w:t>2</w:t>
            </w:r>
          </w:p>
        </w:tc>
        <w:tc>
          <w:tcPr>
            <w:tcW w:w="7913" w:type="dxa"/>
            <w:vAlign w:val="center"/>
          </w:tcPr>
          <w:p w14:paraId="7AF8BD83" w14:textId="77777777" w:rsidR="005F09A6" w:rsidRDefault="005F09A6" w:rsidP="005F09A6">
            <w:pPr>
              <w:pStyle w:val="Default"/>
              <w:rPr>
                <w:sz w:val="23"/>
                <w:szCs w:val="23"/>
              </w:rPr>
            </w:pPr>
            <w:r>
              <w:rPr>
                <w:b/>
                <w:bCs/>
                <w:sz w:val="23"/>
                <w:szCs w:val="23"/>
              </w:rPr>
              <w:t xml:space="preserve">Final Examination (Comprehensive) </w:t>
            </w:r>
          </w:p>
          <w:p w14:paraId="338B56C8" w14:textId="38608929" w:rsidR="005F09A6" w:rsidRDefault="000A4130" w:rsidP="005F09A6">
            <w:pPr>
              <w:pStyle w:val="Default"/>
              <w:rPr>
                <w:sz w:val="23"/>
                <w:szCs w:val="23"/>
              </w:rPr>
            </w:pPr>
            <w:r>
              <w:rPr>
                <w:sz w:val="23"/>
                <w:szCs w:val="23"/>
              </w:rPr>
              <w:t>DUE: Chapter 20 Assignment</w:t>
            </w:r>
          </w:p>
          <w:p w14:paraId="6B693F93" w14:textId="77777777" w:rsidR="003441D6" w:rsidRDefault="000A4130" w:rsidP="005F09A6">
            <w:pPr>
              <w:rPr>
                <w:sz w:val="23"/>
                <w:szCs w:val="23"/>
              </w:rPr>
            </w:pPr>
            <w:r>
              <w:rPr>
                <w:sz w:val="23"/>
                <w:szCs w:val="23"/>
              </w:rPr>
              <w:t>DUE: Chapter 12 Assignment</w:t>
            </w:r>
          </w:p>
          <w:p w14:paraId="048573B4" w14:textId="3FB8CC55" w:rsidR="007D4878" w:rsidRPr="0099285A" w:rsidRDefault="007D4878" w:rsidP="005F09A6">
            <w:r w:rsidRPr="007D4878">
              <w:rPr>
                <w:i/>
              </w:rPr>
              <w:t>(</w:t>
            </w:r>
            <w:r>
              <w:rPr>
                <w:i/>
              </w:rPr>
              <w:t xml:space="preserve">Class: </w:t>
            </w:r>
            <w:r w:rsidRPr="007D4878">
              <w:rPr>
                <w:i/>
              </w:rPr>
              <w:t>In person)</w:t>
            </w:r>
          </w:p>
        </w:tc>
      </w:tr>
    </w:tbl>
    <w:p w14:paraId="20C5760B" w14:textId="77777777" w:rsidR="00BD1F83" w:rsidRPr="00ED5D7A" w:rsidRDefault="00BD1F83" w:rsidP="005F09A6">
      <w:bookmarkStart w:id="5" w:name="_GoBack"/>
      <w:bookmarkEnd w:id="5"/>
    </w:p>
    <w:sectPr w:rsidR="00BD1F83" w:rsidRPr="00ED5D7A">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35BA" w14:textId="77777777" w:rsidR="001D7AF4" w:rsidRDefault="001D7AF4">
      <w:r>
        <w:separator/>
      </w:r>
    </w:p>
  </w:endnote>
  <w:endnote w:type="continuationSeparator" w:id="0">
    <w:p w14:paraId="1D38E479" w14:textId="77777777" w:rsidR="001D7AF4" w:rsidRDefault="001D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6DF4" w14:textId="1DA1D0FB" w:rsidR="00F45D75" w:rsidRDefault="00E60444">
    <w:pPr>
      <w:pBdr>
        <w:top w:val="nil"/>
        <w:left w:val="nil"/>
        <w:bottom w:val="nil"/>
        <w:right w:val="nil"/>
        <w:between w:val="nil"/>
      </w:pBdr>
      <w:tabs>
        <w:tab w:val="right" w:pos="8640"/>
        <w:tab w:val="right" w:pos="8190"/>
      </w:tabs>
      <w:spacing w:before="360"/>
      <w:ind w:right="360"/>
      <w:rPr>
        <w:rFonts w:ascii="Arial" w:eastAsia="Arial" w:hAnsi="Arial" w:cs="Arial"/>
        <w:color w:val="000000"/>
        <w:sz w:val="18"/>
        <w:szCs w:val="18"/>
      </w:rPr>
    </w:pPr>
    <w:r>
      <w:rPr>
        <w:rFonts w:ascii="Arial" w:eastAsia="Arial" w:hAnsi="Arial" w:cs="Arial"/>
        <w:sz w:val="18"/>
        <w:szCs w:val="18"/>
      </w:rPr>
      <w:t>Summer</w:t>
    </w:r>
    <w:r w:rsidR="004F7E38">
      <w:rPr>
        <w:rFonts w:ascii="Arial" w:eastAsia="Arial" w:hAnsi="Arial" w:cs="Arial"/>
        <w:color w:val="000000"/>
        <w:sz w:val="18"/>
        <w:szCs w:val="18"/>
      </w:rPr>
      <w:t xml:space="preserve"> 202</w:t>
    </w:r>
    <w:r w:rsidR="00F45D75">
      <w:rPr>
        <w:rFonts w:ascii="Arial" w:eastAsia="Arial" w:hAnsi="Arial" w:cs="Arial"/>
        <w:color w:val="000000"/>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E678" w14:textId="77777777" w:rsidR="001D7AF4" w:rsidRDefault="001D7AF4">
      <w:r>
        <w:separator/>
      </w:r>
    </w:p>
  </w:footnote>
  <w:footnote w:type="continuationSeparator" w:id="0">
    <w:p w14:paraId="4E2E8900" w14:textId="77777777" w:rsidR="001D7AF4" w:rsidRDefault="001D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9F4D" w14:textId="77777777" w:rsidR="004F7E38" w:rsidRDefault="004F7E38">
    <w:pPr>
      <w:pBdr>
        <w:top w:val="nil"/>
        <w:left w:val="nil"/>
        <w:bottom w:val="nil"/>
        <w:right w:val="nil"/>
        <w:between w:val="nil"/>
      </w:pBdr>
      <w:tabs>
        <w:tab w:val="center" w:pos="4320"/>
        <w:tab w:val="right" w:pos="8640"/>
      </w:tabs>
      <w:spacing w:after="120"/>
      <w:rPr>
        <w:color w:val="000000"/>
      </w:rPr>
    </w:pPr>
    <w:r>
      <w:rPr>
        <w:b/>
        <w:noProof/>
        <w:color w:val="000000"/>
        <w:sz w:val="28"/>
        <w:szCs w:val="28"/>
      </w:rPr>
      <w:drawing>
        <wp:inline distT="0" distB="0" distL="0" distR="0" wp14:anchorId="260B6048" wp14:editId="1D797CF4">
          <wp:extent cx="3402671" cy="336486"/>
          <wp:effectExtent l="0" t="0" r="0" b="0"/>
          <wp:docPr id="1" name="image1.png" descr="SJSU lucas College and Graduate School of business"/>
          <wp:cNvGraphicFramePr/>
          <a:graphic xmlns:a="http://schemas.openxmlformats.org/drawingml/2006/main">
            <a:graphicData uri="http://schemas.openxmlformats.org/drawingml/2006/picture">
              <pic:pic xmlns:pic="http://schemas.openxmlformats.org/drawingml/2006/picture">
                <pic:nvPicPr>
                  <pic:cNvPr id="0" name="image1.png" descr="SJSU lucas College and Graduate School of business"/>
                  <pic:cNvPicPr preferRelativeResize="0"/>
                </pic:nvPicPr>
                <pic:blipFill>
                  <a:blip r:embed="rId1"/>
                  <a:srcRect/>
                  <a:stretch>
                    <a:fillRect/>
                  </a:stretch>
                </pic:blipFill>
                <pic:spPr>
                  <a:xfrm>
                    <a:off x="0" y="0"/>
                    <a:ext cx="3402671" cy="3364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6113"/>
    <w:multiLevelType w:val="multilevel"/>
    <w:tmpl w:val="AD841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44785F"/>
    <w:multiLevelType w:val="multilevel"/>
    <w:tmpl w:val="4ABC66E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92412C"/>
    <w:multiLevelType w:val="hybridMultilevel"/>
    <w:tmpl w:val="C818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B55B7"/>
    <w:multiLevelType w:val="hybridMultilevel"/>
    <w:tmpl w:val="2B2C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D61DA"/>
    <w:multiLevelType w:val="hybridMultilevel"/>
    <w:tmpl w:val="6D28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363CC"/>
    <w:multiLevelType w:val="hybridMultilevel"/>
    <w:tmpl w:val="9C4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83"/>
    <w:rsid w:val="0000617D"/>
    <w:rsid w:val="00012905"/>
    <w:rsid w:val="00013F17"/>
    <w:rsid w:val="00031F62"/>
    <w:rsid w:val="00060875"/>
    <w:rsid w:val="00081201"/>
    <w:rsid w:val="00085EA8"/>
    <w:rsid w:val="000A02F6"/>
    <w:rsid w:val="000A15F6"/>
    <w:rsid w:val="000A4130"/>
    <w:rsid w:val="0010447F"/>
    <w:rsid w:val="00165665"/>
    <w:rsid w:val="001D7AF4"/>
    <w:rsid w:val="001E4EB9"/>
    <w:rsid w:val="002005AA"/>
    <w:rsid w:val="002144FE"/>
    <w:rsid w:val="00276364"/>
    <w:rsid w:val="002768B0"/>
    <w:rsid w:val="0028733B"/>
    <w:rsid w:val="002C7357"/>
    <w:rsid w:val="002F68A6"/>
    <w:rsid w:val="003441D6"/>
    <w:rsid w:val="00365430"/>
    <w:rsid w:val="0036608D"/>
    <w:rsid w:val="003D35AE"/>
    <w:rsid w:val="003E61AC"/>
    <w:rsid w:val="003F0E12"/>
    <w:rsid w:val="00436F3E"/>
    <w:rsid w:val="004A39E4"/>
    <w:rsid w:val="004B24E8"/>
    <w:rsid w:val="004C70BE"/>
    <w:rsid w:val="004E2CFD"/>
    <w:rsid w:val="004F7E38"/>
    <w:rsid w:val="00515695"/>
    <w:rsid w:val="005251D5"/>
    <w:rsid w:val="005340DA"/>
    <w:rsid w:val="005471A6"/>
    <w:rsid w:val="00556DFE"/>
    <w:rsid w:val="005C7B16"/>
    <w:rsid w:val="005D5FE5"/>
    <w:rsid w:val="005F09A6"/>
    <w:rsid w:val="005F39C4"/>
    <w:rsid w:val="006236E0"/>
    <w:rsid w:val="0064145C"/>
    <w:rsid w:val="007223DF"/>
    <w:rsid w:val="00726F20"/>
    <w:rsid w:val="00787339"/>
    <w:rsid w:val="00793562"/>
    <w:rsid w:val="007D4878"/>
    <w:rsid w:val="007E56ED"/>
    <w:rsid w:val="007F2206"/>
    <w:rsid w:val="00826781"/>
    <w:rsid w:val="0083081F"/>
    <w:rsid w:val="00837056"/>
    <w:rsid w:val="00875A48"/>
    <w:rsid w:val="0090594B"/>
    <w:rsid w:val="00940D75"/>
    <w:rsid w:val="0096081E"/>
    <w:rsid w:val="0099257C"/>
    <w:rsid w:val="0099285A"/>
    <w:rsid w:val="009C5083"/>
    <w:rsid w:val="00A24599"/>
    <w:rsid w:val="00A50561"/>
    <w:rsid w:val="00A5299F"/>
    <w:rsid w:val="00A82FBD"/>
    <w:rsid w:val="00A97CD8"/>
    <w:rsid w:val="00AB4F47"/>
    <w:rsid w:val="00B369C5"/>
    <w:rsid w:val="00B37C73"/>
    <w:rsid w:val="00B44161"/>
    <w:rsid w:val="00B7107F"/>
    <w:rsid w:val="00B74339"/>
    <w:rsid w:val="00BB0083"/>
    <w:rsid w:val="00BD1F83"/>
    <w:rsid w:val="00BE0428"/>
    <w:rsid w:val="00BF3871"/>
    <w:rsid w:val="00C02B2D"/>
    <w:rsid w:val="00C06618"/>
    <w:rsid w:val="00C20B7A"/>
    <w:rsid w:val="00C43341"/>
    <w:rsid w:val="00C517C6"/>
    <w:rsid w:val="00C750C1"/>
    <w:rsid w:val="00C9073F"/>
    <w:rsid w:val="00D55465"/>
    <w:rsid w:val="00D55739"/>
    <w:rsid w:val="00D60F52"/>
    <w:rsid w:val="00DB22D8"/>
    <w:rsid w:val="00DB6603"/>
    <w:rsid w:val="00DD6E34"/>
    <w:rsid w:val="00E13739"/>
    <w:rsid w:val="00E15A43"/>
    <w:rsid w:val="00E60444"/>
    <w:rsid w:val="00E67D59"/>
    <w:rsid w:val="00EB16F8"/>
    <w:rsid w:val="00ED33E2"/>
    <w:rsid w:val="00ED5D7A"/>
    <w:rsid w:val="00EE414D"/>
    <w:rsid w:val="00F173C8"/>
    <w:rsid w:val="00F45D75"/>
    <w:rsid w:val="00F856F0"/>
    <w:rsid w:val="00F96AE6"/>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915E"/>
  <w15:docId w15:val="{441414E2-C8AD-43B5-9C62-B165AAE7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b/>
      <w:sz w:val="32"/>
      <w:szCs w:val="32"/>
    </w:rPr>
  </w:style>
  <w:style w:type="paragraph" w:styleId="Heading2">
    <w:name w:val="heading 2"/>
    <w:basedOn w:val="Normal"/>
    <w:next w:val="Normal"/>
    <w:uiPriority w:val="9"/>
    <w:unhideWhenUsed/>
    <w:qFormat/>
    <w:pPr>
      <w:keepNext/>
      <w:spacing w:before="240" w:after="120"/>
      <w:outlineLvl w:val="1"/>
    </w:pPr>
    <w:rPr>
      <w:b/>
    </w:rPr>
  </w:style>
  <w:style w:type="paragraph" w:styleId="Heading3">
    <w:name w:val="heading 3"/>
    <w:basedOn w:val="Normal"/>
    <w:next w:val="Normal"/>
    <w:uiPriority w:val="9"/>
    <w:unhideWhenUsed/>
    <w:qFormat/>
    <w:pPr>
      <w:keepNext/>
      <w:spacing w:before="240" w:after="120"/>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DB22D8"/>
    <w:pPr>
      <w:spacing w:after="120"/>
    </w:pPr>
  </w:style>
  <w:style w:type="character" w:customStyle="1" w:styleId="BodyTextChar">
    <w:name w:val="Body Text Char"/>
    <w:basedOn w:val="DefaultParagraphFont"/>
    <w:link w:val="BodyText"/>
    <w:rsid w:val="00DB22D8"/>
  </w:style>
  <w:style w:type="paragraph" w:styleId="BalloonText">
    <w:name w:val="Balloon Text"/>
    <w:basedOn w:val="Normal"/>
    <w:link w:val="BalloonTextChar"/>
    <w:uiPriority w:val="99"/>
    <w:semiHidden/>
    <w:unhideWhenUsed/>
    <w:rsid w:val="006236E0"/>
    <w:rPr>
      <w:rFonts w:ascii="Tahoma" w:hAnsi="Tahoma" w:cs="Tahoma"/>
      <w:sz w:val="16"/>
      <w:szCs w:val="16"/>
    </w:rPr>
  </w:style>
  <w:style w:type="character" w:customStyle="1" w:styleId="BalloonTextChar">
    <w:name w:val="Balloon Text Char"/>
    <w:basedOn w:val="DefaultParagraphFont"/>
    <w:link w:val="BalloonText"/>
    <w:uiPriority w:val="99"/>
    <w:semiHidden/>
    <w:rsid w:val="006236E0"/>
    <w:rPr>
      <w:rFonts w:ascii="Tahoma" w:hAnsi="Tahoma" w:cs="Tahoma"/>
      <w:sz w:val="16"/>
      <w:szCs w:val="16"/>
    </w:rPr>
  </w:style>
  <w:style w:type="character" w:styleId="Hyperlink">
    <w:name w:val="Hyperlink"/>
    <w:unhideWhenUsed/>
    <w:rsid w:val="00012905"/>
    <w:rPr>
      <w:color w:val="0000FF"/>
      <w:u w:val="single"/>
    </w:rPr>
  </w:style>
  <w:style w:type="paragraph" w:customStyle="1" w:styleId="Default">
    <w:name w:val="Default"/>
    <w:rsid w:val="00ED5D7A"/>
    <w:pPr>
      <w:autoSpaceDE w:val="0"/>
      <w:autoSpaceDN w:val="0"/>
      <w:adjustRightInd w:val="0"/>
    </w:pPr>
    <w:rPr>
      <w:color w:val="000000"/>
    </w:rPr>
  </w:style>
  <w:style w:type="table" w:styleId="TableGrid">
    <w:name w:val="Table Grid"/>
    <w:basedOn w:val="TableNormal"/>
    <w:uiPriority w:val="59"/>
    <w:rsid w:val="004F7E3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444"/>
    <w:pPr>
      <w:tabs>
        <w:tab w:val="center" w:pos="4680"/>
        <w:tab w:val="right" w:pos="9360"/>
      </w:tabs>
    </w:pPr>
  </w:style>
  <w:style w:type="character" w:customStyle="1" w:styleId="HeaderChar">
    <w:name w:val="Header Char"/>
    <w:basedOn w:val="DefaultParagraphFont"/>
    <w:link w:val="Header"/>
    <w:uiPriority w:val="99"/>
    <w:rsid w:val="00E60444"/>
  </w:style>
  <w:style w:type="paragraph" w:styleId="Footer">
    <w:name w:val="footer"/>
    <w:basedOn w:val="Normal"/>
    <w:link w:val="FooterChar"/>
    <w:uiPriority w:val="99"/>
    <w:unhideWhenUsed/>
    <w:rsid w:val="00E60444"/>
    <w:pPr>
      <w:tabs>
        <w:tab w:val="center" w:pos="4680"/>
        <w:tab w:val="right" w:pos="9360"/>
      </w:tabs>
    </w:pPr>
  </w:style>
  <w:style w:type="character" w:customStyle="1" w:styleId="FooterChar">
    <w:name w:val="Footer Char"/>
    <w:basedOn w:val="DefaultParagraphFont"/>
    <w:link w:val="Footer"/>
    <w:uiPriority w:val="99"/>
    <w:rsid w:val="00E60444"/>
  </w:style>
  <w:style w:type="character" w:styleId="UnresolvedMention">
    <w:name w:val="Unresolved Mention"/>
    <w:basedOn w:val="DefaultParagraphFont"/>
    <w:uiPriority w:val="99"/>
    <w:semiHidden/>
    <w:unhideWhenUsed/>
    <w:rsid w:val="0055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le.Lazerson@sjsu.edu"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Lazerson</dc:creator>
  <cp:lastModifiedBy>Danielle Sarah Lazerson</cp:lastModifiedBy>
  <cp:revision>7</cp:revision>
  <cp:lastPrinted>2020-08-07T21:20:00Z</cp:lastPrinted>
  <dcterms:created xsi:type="dcterms:W3CDTF">2022-05-14T03:58:00Z</dcterms:created>
  <dcterms:modified xsi:type="dcterms:W3CDTF">2022-05-20T20:57:00Z</dcterms:modified>
</cp:coreProperties>
</file>