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92" w:rsidRDefault="001A5851" w:rsidP="005946CC">
      <w:pPr>
        <w:pStyle w:val="Heading1"/>
      </w:pPr>
      <w:r w:rsidRPr="00310987">
        <w:t>San José State University</w:t>
      </w:r>
      <w:r w:rsidRPr="00310987">
        <w:br/>
      </w:r>
      <w:r w:rsidR="00EB16A3">
        <w:t>Lucas Graduate School of Business</w:t>
      </w:r>
      <w:r w:rsidR="00EB16A3">
        <w:br/>
        <w:t>MST Program</w:t>
      </w:r>
      <w:r w:rsidR="00444C92" w:rsidRPr="00310987">
        <w:br/>
      </w:r>
      <w:r w:rsidR="00EB16A3" w:rsidRPr="00D44997">
        <w:t xml:space="preserve">BUS 225Y, </w:t>
      </w:r>
      <w:r w:rsidR="003020AA" w:rsidRPr="00D44997">
        <w:t>Accounting Ethics</w:t>
      </w:r>
      <w:r w:rsidR="003020AA">
        <w:br/>
      </w:r>
      <w:r w:rsidR="005710F8">
        <w:t xml:space="preserve">Spring </w:t>
      </w:r>
      <w:r w:rsidR="00EB16A3">
        <w:t>2016</w:t>
      </w:r>
    </w:p>
    <w:p w:rsidR="00900850" w:rsidRPr="00310987" w:rsidRDefault="001A5851" w:rsidP="00900850">
      <w:pPr>
        <w:pStyle w:val="Heading2"/>
      </w:pPr>
      <w:r w:rsidRPr="00310987">
        <w:t xml:space="preserve">Course and Contact </w:t>
      </w:r>
      <w:r w:rsidR="00900850" w:rsidRPr="00310987">
        <w:t>Information</w:t>
      </w:r>
    </w:p>
    <w:tbl>
      <w:tblPr>
        <w:tblW w:w="9918" w:type="dxa"/>
        <w:tblLayout w:type="fixed"/>
        <w:tblLook w:val="01E0"/>
      </w:tblPr>
      <w:tblGrid>
        <w:gridCol w:w="3168"/>
        <w:gridCol w:w="6750"/>
      </w:tblGrid>
      <w:tr w:rsidR="00444C92" w:rsidRPr="00310987" w:rsidTr="005946CC">
        <w:trPr>
          <w:trHeight w:val="144"/>
        </w:trPr>
        <w:tc>
          <w:tcPr>
            <w:tcW w:w="3168" w:type="dxa"/>
          </w:tcPr>
          <w:p w:rsidR="00444C92" w:rsidRPr="00310987" w:rsidRDefault="00444C92" w:rsidP="00671DB6">
            <w:pPr>
              <w:pStyle w:val="contactheading"/>
            </w:pPr>
            <w:r w:rsidRPr="00310987">
              <w:t>Instructor:</w:t>
            </w:r>
          </w:p>
        </w:tc>
        <w:tc>
          <w:tcPr>
            <w:tcW w:w="6750" w:type="dxa"/>
            <w:vAlign w:val="center"/>
          </w:tcPr>
          <w:p w:rsidR="00444C92" w:rsidRPr="00310987" w:rsidRDefault="005710F8" w:rsidP="005710F8">
            <w:r>
              <w:t>Kenneth Guilfoyle</w:t>
            </w:r>
          </w:p>
        </w:tc>
      </w:tr>
      <w:tr w:rsidR="00444C92" w:rsidRPr="00310987" w:rsidTr="005946CC">
        <w:trPr>
          <w:trHeight w:val="144"/>
        </w:trPr>
        <w:tc>
          <w:tcPr>
            <w:tcW w:w="3168" w:type="dxa"/>
          </w:tcPr>
          <w:p w:rsidR="00444C92" w:rsidRPr="00310987" w:rsidRDefault="00444C92" w:rsidP="00671DB6">
            <w:pPr>
              <w:pStyle w:val="contactheading"/>
            </w:pPr>
            <w:r w:rsidRPr="00310987">
              <w:t>Office Location:</w:t>
            </w:r>
          </w:p>
        </w:tc>
        <w:tc>
          <w:tcPr>
            <w:tcW w:w="6750" w:type="dxa"/>
            <w:vAlign w:val="center"/>
          </w:tcPr>
          <w:p w:rsidR="00444C92" w:rsidRPr="00310987" w:rsidRDefault="005710F8" w:rsidP="005710F8">
            <w:r>
              <w:t>BDO USA, LLP – 50 W. San Fernando Street San Jose, CA 95113</w:t>
            </w:r>
          </w:p>
        </w:tc>
      </w:tr>
      <w:tr w:rsidR="00444C92" w:rsidRPr="00310987" w:rsidTr="005946CC">
        <w:trPr>
          <w:trHeight w:val="144"/>
        </w:trPr>
        <w:tc>
          <w:tcPr>
            <w:tcW w:w="3168" w:type="dxa"/>
          </w:tcPr>
          <w:p w:rsidR="00444C92" w:rsidRPr="00310987" w:rsidRDefault="00444C92" w:rsidP="00671DB6">
            <w:pPr>
              <w:pStyle w:val="contactheading"/>
            </w:pPr>
            <w:r w:rsidRPr="00310987">
              <w:t>Telephone:</w:t>
            </w:r>
          </w:p>
        </w:tc>
        <w:tc>
          <w:tcPr>
            <w:tcW w:w="6750" w:type="dxa"/>
            <w:vAlign w:val="center"/>
          </w:tcPr>
          <w:p w:rsidR="00444C92" w:rsidRPr="00310987" w:rsidRDefault="00EB16A3" w:rsidP="005710F8">
            <w:r>
              <w:t xml:space="preserve">(408) </w:t>
            </w:r>
            <w:r w:rsidR="005710F8">
              <w:t>352</w:t>
            </w:r>
            <w:r>
              <w:t>-</w:t>
            </w:r>
            <w:r w:rsidR="005710F8">
              <w:t>1932</w:t>
            </w:r>
          </w:p>
        </w:tc>
      </w:tr>
      <w:tr w:rsidR="00444C92" w:rsidRPr="00310987" w:rsidTr="005946CC">
        <w:trPr>
          <w:trHeight w:val="144"/>
        </w:trPr>
        <w:tc>
          <w:tcPr>
            <w:tcW w:w="3168" w:type="dxa"/>
          </w:tcPr>
          <w:p w:rsidR="00444C92" w:rsidRPr="00310987" w:rsidRDefault="00444C92" w:rsidP="00671DB6">
            <w:pPr>
              <w:pStyle w:val="contactheading"/>
            </w:pPr>
            <w:r w:rsidRPr="00310987">
              <w:t>Email:</w:t>
            </w:r>
          </w:p>
        </w:tc>
        <w:tc>
          <w:tcPr>
            <w:tcW w:w="6750" w:type="dxa"/>
            <w:vAlign w:val="center"/>
          </w:tcPr>
          <w:p w:rsidR="00444C92" w:rsidRPr="00310987" w:rsidRDefault="005710F8" w:rsidP="005710F8">
            <w:hyperlink r:id="rId8" w:history="1">
              <w:r w:rsidRPr="009D4FD4">
                <w:rPr>
                  <w:rStyle w:val="Hyperlink"/>
                </w:rPr>
                <w:t xml:space="preserve">kguilfoyle@bdo.com </w:t>
              </w:r>
            </w:hyperlink>
            <w:r w:rsidR="00EB16A3">
              <w:t xml:space="preserve"> </w:t>
            </w:r>
          </w:p>
        </w:tc>
      </w:tr>
      <w:tr w:rsidR="00444C92" w:rsidRPr="00310987" w:rsidTr="005946CC">
        <w:trPr>
          <w:trHeight w:val="144"/>
        </w:trPr>
        <w:tc>
          <w:tcPr>
            <w:tcW w:w="3168" w:type="dxa"/>
          </w:tcPr>
          <w:p w:rsidR="00444C92" w:rsidRPr="00310987" w:rsidRDefault="00444C92" w:rsidP="00671DB6">
            <w:pPr>
              <w:pStyle w:val="contactheading"/>
            </w:pPr>
            <w:r w:rsidRPr="00310987">
              <w:t>Office Hours:</w:t>
            </w:r>
          </w:p>
        </w:tc>
        <w:tc>
          <w:tcPr>
            <w:tcW w:w="6750" w:type="dxa"/>
            <w:vAlign w:val="center"/>
          </w:tcPr>
          <w:p w:rsidR="00444C92" w:rsidRDefault="00EB16A3" w:rsidP="00C143D3">
            <w:r>
              <w:t>20 minutes before and after class and by appointment</w:t>
            </w:r>
          </w:p>
          <w:p w:rsidR="00F346D5" w:rsidRDefault="00F346D5" w:rsidP="00C143D3">
            <w:r>
              <w:t>Phone meetings available</w:t>
            </w:r>
          </w:p>
          <w:p w:rsidR="00F346D5" w:rsidRPr="00310987" w:rsidRDefault="00F346D5" w:rsidP="00C143D3"/>
        </w:tc>
      </w:tr>
      <w:tr w:rsidR="00444C92" w:rsidRPr="00310987" w:rsidTr="005946CC">
        <w:trPr>
          <w:trHeight w:val="144"/>
        </w:trPr>
        <w:tc>
          <w:tcPr>
            <w:tcW w:w="3168" w:type="dxa"/>
          </w:tcPr>
          <w:p w:rsidR="00444C92" w:rsidRPr="00310987" w:rsidRDefault="00444C92" w:rsidP="00671DB6">
            <w:pPr>
              <w:pStyle w:val="contactheading"/>
            </w:pPr>
            <w:r w:rsidRPr="00310987">
              <w:t>Class Days/Time:</w:t>
            </w:r>
          </w:p>
        </w:tc>
        <w:tc>
          <w:tcPr>
            <w:tcW w:w="6750" w:type="dxa"/>
            <w:vAlign w:val="center"/>
          </w:tcPr>
          <w:p w:rsidR="005710F8" w:rsidRDefault="00EB16A3" w:rsidP="005710F8">
            <w:r>
              <w:t xml:space="preserve">Wednesdays, </w:t>
            </w:r>
            <w:r w:rsidR="005710F8">
              <w:t xml:space="preserve">April 18 </w:t>
            </w:r>
            <w:r>
              <w:t xml:space="preserve">to </w:t>
            </w:r>
            <w:r w:rsidR="005710F8">
              <w:t>June 8</w:t>
            </w:r>
            <w:r>
              <w:t xml:space="preserve">, 2016 </w:t>
            </w:r>
            <w:r w:rsidR="005946CC">
              <w:t>from 6 – 10 pm</w:t>
            </w:r>
            <w:r w:rsidR="005710F8">
              <w:t xml:space="preserve"> </w:t>
            </w:r>
          </w:p>
          <w:p w:rsidR="005710F8" w:rsidRDefault="005710F8" w:rsidP="005710F8">
            <w:r>
              <w:t>Saturday May 14, from 9 - 5</w:t>
            </w:r>
          </w:p>
          <w:p w:rsidR="005710F8" w:rsidRPr="00310987" w:rsidRDefault="005710F8" w:rsidP="005710F8"/>
        </w:tc>
      </w:tr>
      <w:tr w:rsidR="00444C92" w:rsidRPr="00310987" w:rsidTr="005946CC">
        <w:trPr>
          <w:trHeight w:val="144"/>
        </w:trPr>
        <w:tc>
          <w:tcPr>
            <w:tcW w:w="3168" w:type="dxa"/>
          </w:tcPr>
          <w:p w:rsidR="00444C92" w:rsidRPr="00310987" w:rsidRDefault="00444C92" w:rsidP="00671DB6">
            <w:pPr>
              <w:pStyle w:val="contactheading"/>
            </w:pPr>
            <w:r w:rsidRPr="00310987">
              <w:t>Classroom:</w:t>
            </w:r>
          </w:p>
        </w:tc>
        <w:tc>
          <w:tcPr>
            <w:tcW w:w="6750" w:type="dxa"/>
            <w:vAlign w:val="center"/>
          </w:tcPr>
          <w:p w:rsidR="00444C92" w:rsidRPr="00310987" w:rsidRDefault="00EB16A3" w:rsidP="00C143D3">
            <w:r>
              <w:t>Lucas Business Complex</w:t>
            </w:r>
            <w:r>
              <w:br/>
              <w:t>2933 Bunker Hill Lane, Santa Clara</w:t>
            </w:r>
          </w:p>
        </w:tc>
      </w:tr>
      <w:tr w:rsidR="00444C92" w:rsidRPr="00310987" w:rsidTr="005946CC">
        <w:trPr>
          <w:trHeight w:val="144"/>
        </w:trPr>
        <w:tc>
          <w:tcPr>
            <w:tcW w:w="3168" w:type="dxa"/>
          </w:tcPr>
          <w:p w:rsidR="00444C92" w:rsidRPr="00310987" w:rsidRDefault="00444C92" w:rsidP="00671DB6">
            <w:pPr>
              <w:pStyle w:val="contactheading"/>
            </w:pPr>
            <w:r w:rsidRPr="00310987">
              <w:t>Prerequisites:</w:t>
            </w:r>
          </w:p>
        </w:tc>
        <w:tc>
          <w:tcPr>
            <w:tcW w:w="6750" w:type="dxa"/>
            <w:vAlign w:val="center"/>
          </w:tcPr>
          <w:p w:rsidR="00444C92" w:rsidRPr="00EB16A3" w:rsidRDefault="00EB16A3" w:rsidP="00AA24D3">
            <w:pPr>
              <w:pStyle w:val="Heading2"/>
              <w:rPr>
                <w:b w:val="0"/>
              </w:rPr>
            </w:pPr>
            <w:r w:rsidRPr="00EB16A3">
              <w:rPr>
                <w:b w:val="0"/>
              </w:rPr>
              <w:t>Graduate standing</w:t>
            </w:r>
          </w:p>
        </w:tc>
      </w:tr>
    </w:tbl>
    <w:p w:rsidR="001A5851" w:rsidRPr="00310987" w:rsidRDefault="001A5851" w:rsidP="00444C92">
      <w:pPr>
        <w:pStyle w:val="Heading2"/>
      </w:pPr>
      <w:r w:rsidRPr="00310987">
        <w:t>Course Format</w:t>
      </w:r>
      <w:r w:rsidR="00C67BBA" w:rsidRPr="00310987">
        <w:t xml:space="preserve"> </w:t>
      </w:r>
    </w:p>
    <w:p w:rsidR="000C43D7" w:rsidRPr="008A398F" w:rsidRDefault="00EB16A3" w:rsidP="00861E4B">
      <w:pPr>
        <w:rPr>
          <w:lang w:eastAsia="en-US"/>
        </w:rPr>
      </w:pPr>
      <w:r>
        <w:rPr>
          <w:lang w:eastAsia="en-US"/>
        </w:rPr>
        <w:t>This course includes some online components available through Canvas.</w:t>
      </w:r>
    </w:p>
    <w:p w:rsidR="00444C92" w:rsidRPr="00D44997" w:rsidRDefault="00444C92" w:rsidP="00444C92">
      <w:pPr>
        <w:pStyle w:val="Heading2"/>
      </w:pPr>
      <w:r w:rsidRPr="00D44997">
        <w:t xml:space="preserve">Course Description </w:t>
      </w:r>
    </w:p>
    <w:p w:rsidR="003020AA" w:rsidRPr="00D44997" w:rsidRDefault="003020AA" w:rsidP="00AA24D3">
      <w:pPr>
        <w:pStyle w:val="Heading2"/>
        <w:rPr>
          <w:rFonts w:eastAsia="SimSun" w:cs="Times New Roman"/>
          <w:b w:val="0"/>
          <w:bCs w:val="0"/>
          <w:iCs w:val="0"/>
          <w:szCs w:val="24"/>
          <w:lang w:eastAsia="zh-CN"/>
        </w:rPr>
      </w:pPr>
      <w:r w:rsidRPr="00D44997">
        <w:rPr>
          <w:rFonts w:eastAsia="SimSun" w:cs="Times New Roman"/>
          <w:b w:val="0"/>
          <w:bCs w:val="0"/>
          <w:iCs w:val="0"/>
          <w:szCs w:val="24"/>
          <w:lang w:eastAsia="zh-CN"/>
        </w:rPr>
        <w:t>Covers professional responsibilities for accountants; meets CA licensure rules for a 3-unit accounting ethics course. Addresses CA statutory and regulatory ethics, AICPA rules of professional conduct, SSTS, and Circular 230, emphasizing compliance, history, process of change, and research.</w:t>
      </w:r>
    </w:p>
    <w:p w:rsidR="00444C92" w:rsidRPr="00D44997" w:rsidRDefault="00444C92" w:rsidP="00AA24D3">
      <w:pPr>
        <w:pStyle w:val="Heading2"/>
      </w:pPr>
      <w:r w:rsidRPr="00D44997">
        <w:t xml:space="preserve">Learning </w:t>
      </w:r>
      <w:r w:rsidR="00BD5033" w:rsidRPr="00D44997">
        <w:t>Outcomes</w:t>
      </w:r>
    </w:p>
    <w:p w:rsidR="00796A50" w:rsidRPr="00D44997" w:rsidRDefault="009C1A50" w:rsidP="00FB0206">
      <w:pPr>
        <w:numPr>
          <w:ilvl w:val="0"/>
          <w:numId w:val="25"/>
        </w:numPr>
        <w:rPr>
          <w:lang w:eastAsia="en-US"/>
        </w:rPr>
      </w:pPr>
      <w:r w:rsidRPr="00D44997">
        <w:rPr>
          <w:lang w:eastAsia="en-US"/>
        </w:rPr>
        <w:t>Understand the meaning of ethics, underlying theories, and relevance</w:t>
      </w:r>
      <w:r w:rsidR="000A1380" w:rsidRPr="00D44997">
        <w:rPr>
          <w:lang w:eastAsia="en-US"/>
        </w:rPr>
        <w:t xml:space="preserve"> and importance</w:t>
      </w:r>
      <w:r w:rsidRPr="00D44997">
        <w:rPr>
          <w:lang w:eastAsia="en-US"/>
        </w:rPr>
        <w:t xml:space="preserve"> to the practice of accounting and tax.</w:t>
      </w:r>
    </w:p>
    <w:p w:rsidR="009C1A50" w:rsidRPr="00D44997" w:rsidRDefault="009C1A50" w:rsidP="00FB0206">
      <w:pPr>
        <w:numPr>
          <w:ilvl w:val="0"/>
          <w:numId w:val="25"/>
        </w:numPr>
        <w:rPr>
          <w:lang w:eastAsia="en-US"/>
        </w:rPr>
      </w:pPr>
      <w:r w:rsidRPr="00D44997">
        <w:rPr>
          <w:lang w:eastAsia="en-US"/>
        </w:rPr>
        <w:t>Able to explain key accounting ethics principles of integrity, objectivity, independence, due care, and public interest.</w:t>
      </w:r>
    </w:p>
    <w:p w:rsidR="009C1A50" w:rsidRPr="00D44997" w:rsidRDefault="009C1A50" w:rsidP="00FB0206">
      <w:pPr>
        <w:numPr>
          <w:ilvl w:val="0"/>
          <w:numId w:val="25"/>
        </w:numPr>
        <w:rPr>
          <w:lang w:eastAsia="en-US"/>
        </w:rPr>
      </w:pPr>
      <w:r w:rsidRPr="00D44997">
        <w:rPr>
          <w:lang w:eastAsia="en-US"/>
        </w:rPr>
        <w:t>Able to explain the various rules of conduct that CPAs may be subject to, how to find them and how to conduct research using the appropriate rules.</w:t>
      </w:r>
    </w:p>
    <w:p w:rsidR="008A398F" w:rsidRPr="00D44997" w:rsidRDefault="008A398F" w:rsidP="00FB0206">
      <w:pPr>
        <w:numPr>
          <w:ilvl w:val="0"/>
          <w:numId w:val="25"/>
        </w:numPr>
        <w:rPr>
          <w:lang w:eastAsia="en-US"/>
        </w:rPr>
      </w:pPr>
      <w:r w:rsidRPr="00D44997">
        <w:rPr>
          <w:lang w:eastAsia="en-US"/>
        </w:rPr>
        <w:t>Understand the origin, set up, and key rules of the rules of conduct applicable to a California CPA and to a member of the AICPA.</w:t>
      </w:r>
    </w:p>
    <w:p w:rsidR="009C1A50" w:rsidRPr="00D44997" w:rsidRDefault="009C1A50" w:rsidP="00FB0206">
      <w:pPr>
        <w:numPr>
          <w:ilvl w:val="0"/>
          <w:numId w:val="25"/>
        </w:numPr>
        <w:rPr>
          <w:lang w:eastAsia="en-US"/>
        </w:rPr>
      </w:pPr>
      <w:r w:rsidRPr="00D44997">
        <w:rPr>
          <w:lang w:eastAsia="en-US"/>
        </w:rPr>
        <w:t>Able to explain the purpose of Circular 230, who is subject to it, nature of rules covered, enforcement approach relative to IRC preparer penalties, and how to comply.</w:t>
      </w:r>
    </w:p>
    <w:p w:rsidR="009C1A50" w:rsidRPr="00D44997" w:rsidRDefault="009C1A50" w:rsidP="00FB0206">
      <w:pPr>
        <w:numPr>
          <w:ilvl w:val="0"/>
          <w:numId w:val="25"/>
        </w:numPr>
        <w:rPr>
          <w:lang w:eastAsia="en-US"/>
        </w:rPr>
      </w:pPr>
      <w:r w:rsidRPr="00D44997">
        <w:rPr>
          <w:lang w:eastAsia="en-US"/>
        </w:rPr>
        <w:t>Able to explain AICPA SSTS and the relevance to tax practice.</w:t>
      </w:r>
    </w:p>
    <w:p w:rsidR="008A398F" w:rsidRPr="00D44997" w:rsidRDefault="008A398F" w:rsidP="00FB0206">
      <w:pPr>
        <w:numPr>
          <w:ilvl w:val="0"/>
          <w:numId w:val="25"/>
        </w:numPr>
        <w:rPr>
          <w:lang w:eastAsia="en-US"/>
        </w:rPr>
      </w:pPr>
      <w:r w:rsidRPr="00D44997">
        <w:rPr>
          <w:lang w:eastAsia="en-US"/>
        </w:rPr>
        <w:lastRenderedPageBreak/>
        <w:t>Awareness of the legal liabilities accountants can face and how to avoid.</w:t>
      </w:r>
    </w:p>
    <w:p w:rsidR="008A398F" w:rsidRPr="00D44997" w:rsidRDefault="008A398F" w:rsidP="00FB0206">
      <w:pPr>
        <w:numPr>
          <w:ilvl w:val="0"/>
          <w:numId w:val="25"/>
        </w:numPr>
        <w:rPr>
          <w:lang w:eastAsia="en-US"/>
        </w:rPr>
      </w:pPr>
      <w:r w:rsidRPr="00D44997">
        <w:rPr>
          <w:lang w:eastAsia="en-US"/>
        </w:rPr>
        <w:t>How to develop and follow a personal set of values and guide for resolving ethical dilemmas.</w:t>
      </w:r>
    </w:p>
    <w:p w:rsidR="00444C92" w:rsidRPr="00D44997" w:rsidRDefault="00444C92" w:rsidP="00444C92">
      <w:pPr>
        <w:pStyle w:val="Heading2"/>
      </w:pPr>
      <w:r w:rsidRPr="00D44997">
        <w:t xml:space="preserve">Required Texts/Readings </w:t>
      </w:r>
    </w:p>
    <w:p w:rsidR="00444C92" w:rsidRPr="00D44997" w:rsidRDefault="00444C92" w:rsidP="00444C92">
      <w:pPr>
        <w:pStyle w:val="Heading3"/>
      </w:pPr>
      <w:r w:rsidRPr="00D44997">
        <w:t>Textbook</w:t>
      </w:r>
      <w:r w:rsidR="00FB0206" w:rsidRPr="00D44997">
        <w:t xml:space="preserve"> and Other Reading Materials</w:t>
      </w:r>
    </w:p>
    <w:p w:rsidR="00FB0206" w:rsidRPr="00D44997" w:rsidRDefault="00FB0206" w:rsidP="00FB0206">
      <w:pPr>
        <w:ind w:left="360"/>
        <w:rPr>
          <w:lang w:eastAsia="en-US"/>
        </w:rPr>
      </w:pPr>
      <w:r w:rsidRPr="00D44997">
        <w:rPr>
          <w:lang w:eastAsia="en-US"/>
        </w:rPr>
        <w:t>Bookstore:</w:t>
      </w:r>
    </w:p>
    <w:p w:rsidR="00FB0206" w:rsidRPr="00D44997" w:rsidRDefault="00FB0206" w:rsidP="00F344B6">
      <w:pPr>
        <w:numPr>
          <w:ilvl w:val="0"/>
          <w:numId w:val="25"/>
        </w:numPr>
        <w:spacing w:after="120"/>
        <w:rPr>
          <w:lang w:eastAsia="en-US"/>
        </w:rPr>
      </w:pPr>
      <w:r w:rsidRPr="00D44997">
        <w:rPr>
          <w:lang w:eastAsia="en-US"/>
        </w:rPr>
        <w:t>Ethical Obligations and Decision Making in Accounting by Mintz and Morris, 3d edition</w:t>
      </w:r>
    </w:p>
    <w:p w:rsidR="006C575F" w:rsidRPr="00521AF9" w:rsidRDefault="006C575F" w:rsidP="006C575F">
      <w:pPr>
        <w:spacing w:after="120"/>
        <w:ind w:left="720"/>
        <w:rPr>
          <w:highlight w:val="yellow"/>
          <w:lang w:eastAsia="en-US"/>
        </w:rPr>
      </w:pPr>
      <w:hyperlink r:id="rId9" w:history="1">
        <w:r w:rsidRPr="007449FA">
          <w:rPr>
            <w:rStyle w:val="Hyperlink"/>
            <w:lang w:eastAsia="en-US"/>
          </w:rPr>
          <w:t>http://www.barnesandnoble.com/w/ethical-obligations-and-decision-making-in-accounting-steven-mintz/1117354848?ean=9780077862213</w:t>
        </w:r>
      </w:hyperlink>
      <w:r>
        <w:rPr>
          <w:lang w:eastAsia="en-US"/>
        </w:rPr>
        <w:t xml:space="preserve"> </w:t>
      </w:r>
    </w:p>
    <w:p w:rsidR="00FB0206" w:rsidRPr="00D44997" w:rsidRDefault="00FB0206" w:rsidP="00FB0206">
      <w:pPr>
        <w:ind w:left="360"/>
        <w:rPr>
          <w:lang w:eastAsia="en-US"/>
        </w:rPr>
      </w:pPr>
      <w:r w:rsidRPr="00D44997">
        <w:rPr>
          <w:lang w:eastAsia="en-US"/>
        </w:rPr>
        <w:t>Posted on Canvas</w:t>
      </w:r>
    </w:p>
    <w:p w:rsidR="00FB0206" w:rsidRPr="00D44997" w:rsidRDefault="00FB0206" w:rsidP="00FB0206">
      <w:pPr>
        <w:numPr>
          <w:ilvl w:val="0"/>
          <w:numId w:val="25"/>
        </w:numPr>
        <w:rPr>
          <w:lang w:eastAsia="en-US"/>
        </w:rPr>
      </w:pPr>
      <w:r w:rsidRPr="00D44997">
        <w:rPr>
          <w:lang w:eastAsia="en-US"/>
        </w:rPr>
        <w:t>California Board of Accountancy rules of conduct – statute and regulations</w:t>
      </w:r>
    </w:p>
    <w:p w:rsidR="00FB0206" w:rsidRPr="00D44997" w:rsidRDefault="00FB0206" w:rsidP="00FB0206">
      <w:pPr>
        <w:numPr>
          <w:ilvl w:val="0"/>
          <w:numId w:val="25"/>
        </w:numPr>
        <w:rPr>
          <w:lang w:eastAsia="en-US"/>
        </w:rPr>
      </w:pPr>
      <w:r w:rsidRPr="00D44997">
        <w:rPr>
          <w:lang w:eastAsia="en-US"/>
        </w:rPr>
        <w:t>AICPA SSTS</w:t>
      </w:r>
    </w:p>
    <w:p w:rsidR="00FB0206" w:rsidRPr="00D44997" w:rsidRDefault="00FB0206" w:rsidP="00FB0206">
      <w:pPr>
        <w:numPr>
          <w:ilvl w:val="0"/>
          <w:numId w:val="25"/>
        </w:numPr>
        <w:rPr>
          <w:lang w:eastAsia="en-US"/>
        </w:rPr>
      </w:pPr>
      <w:r w:rsidRPr="00D44997">
        <w:rPr>
          <w:lang w:eastAsia="en-US"/>
        </w:rPr>
        <w:t xml:space="preserve">AICPA Rules of Professional Conduct </w:t>
      </w:r>
    </w:p>
    <w:p w:rsidR="00F344B6" w:rsidRPr="00D44997" w:rsidRDefault="00F344B6" w:rsidP="00FB0206">
      <w:pPr>
        <w:numPr>
          <w:ilvl w:val="0"/>
          <w:numId w:val="25"/>
        </w:numPr>
        <w:rPr>
          <w:lang w:eastAsia="en-US"/>
        </w:rPr>
      </w:pPr>
      <w:r w:rsidRPr="00D44997">
        <w:rPr>
          <w:lang w:eastAsia="en-US"/>
        </w:rPr>
        <w:t>Circular 230</w:t>
      </w:r>
    </w:p>
    <w:p w:rsidR="00FB0206" w:rsidRPr="00D44997" w:rsidRDefault="00FB0206" w:rsidP="00FB0206">
      <w:pPr>
        <w:numPr>
          <w:ilvl w:val="0"/>
          <w:numId w:val="25"/>
        </w:numPr>
        <w:rPr>
          <w:lang w:eastAsia="en-US"/>
        </w:rPr>
      </w:pPr>
      <w:r w:rsidRPr="00D44997">
        <w:rPr>
          <w:lang w:eastAsia="en-US"/>
        </w:rPr>
        <w:t>Additional materials</w:t>
      </w:r>
    </w:p>
    <w:p w:rsidR="002D1995" w:rsidRPr="00310987" w:rsidRDefault="002D1995" w:rsidP="00AF33FB">
      <w:pPr>
        <w:pStyle w:val="Heading2"/>
      </w:pPr>
      <w:r w:rsidRPr="00310987">
        <w:t>Course Requirements and Assignments</w:t>
      </w:r>
    </w:p>
    <w:p w:rsidR="002D1995" w:rsidRPr="00310987" w:rsidRDefault="0063741B" w:rsidP="002D1995">
      <w:r w:rsidRPr="00310987">
        <w:rPr>
          <w:bCs/>
          <w:color w:val="000000"/>
        </w:rPr>
        <w:t xml:space="preserve">SJSU classes are designed such that in order to be successful, it is expected that students will spend </w:t>
      </w:r>
      <w:r w:rsidR="00AF33FB" w:rsidRPr="00310987">
        <w:rPr>
          <w:bCs/>
          <w:color w:val="000000"/>
        </w:rPr>
        <w:t xml:space="preserve">a minimum of forty-five hours </w:t>
      </w:r>
      <w:r w:rsidRPr="00310987">
        <w:rPr>
          <w:bCs/>
          <w:color w:val="000000"/>
        </w:rPr>
        <w:t xml:space="preserve">for each unit of credit </w:t>
      </w:r>
      <w:r w:rsidR="00AF33FB" w:rsidRPr="00310987">
        <w:rPr>
          <w:bCs/>
          <w:color w:val="000000"/>
        </w:rPr>
        <w:t>(normally three hours per unit per week)</w:t>
      </w:r>
      <w:r w:rsidRPr="00310987">
        <w:rPr>
          <w:bCs/>
          <w:color w:val="000000"/>
        </w:rPr>
        <w:t xml:space="preserve">, including preparing for class, participating in course activities, completing assignments, and so on. </w:t>
      </w:r>
      <w:r w:rsidR="002D1995" w:rsidRPr="00310987">
        <w:t xml:space="preserve">More details about student workload can be found in </w:t>
      </w:r>
      <w:hyperlink r:id="rId10" w:history="1">
        <w:r w:rsidR="00174AEA" w:rsidRPr="00310987">
          <w:rPr>
            <w:rStyle w:val="Hyperlink"/>
          </w:rPr>
          <w:t xml:space="preserve">University Policy </w:t>
        </w:r>
        <w:r w:rsidR="00174AEA" w:rsidRPr="00310987">
          <w:rPr>
            <w:rStyle w:val="Hyperlink"/>
          </w:rPr>
          <w:t>S</w:t>
        </w:r>
        <w:r w:rsidR="00174AEA" w:rsidRPr="00310987">
          <w:rPr>
            <w:rStyle w:val="Hyperlink"/>
          </w:rPr>
          <w:t>12-3</w:t>
        </w:r>
      </w:hyperlink>
      <w:r w:rsidR="002D1995" w:rsidRPr="00310987">
        <w:t xml:space="preserve"> at </w:t>
      </w:r>
      <w:hyperlink r:id="rId11" w:history="1">
        <w:r w:rsidR="005946CC" w:rsidRPr="007449FA">
          <w:rPr>
            <w:rStyle w:val="Hyperlink"/>
          </w:rPr>
          <w:t>http://www.sjsu.edu/senate/docs/S12-3.pdf</w:t>
        </w:r>
      </w:hyperlink>
      <w:r w:rsidR="005946CC">
        <w:t xml:space="preserve">. </w:t>
      </w:r>
    </w:p>
    <w:p w:rsidR="00E9560F" w:rsidRPr="00310987" w:rsidRDefault="00E9560F" w:rsidP="00AF33FB"/>
    <w:p w:rsidR="00AF33FB" w:rsidRPr="00310987" w:rsidRDefault="00AD3780" w:rsidP="0096767F">
      <w:pPr>
        <w:pStyle w:val="Heading2"/>
      </w:pPr>
      <w:r w:rsidRPr="00310987">
        <w:t>Grading Policy</w:t>
      </w:r>
    </w:p>
    <w:p w:rsidR="005946CC" w:rsidRPr="000446FB" w:rsidRDefault="005946CC" w:rsidP="005946CC">
      <w:pPr>
        <w:ind w:firstLine="720"/>
      </w:pPr>
      <w:r w:rsidRPr="000446FB">
        <w:t>In-class</w:t>
      </w:r>
      <w:r w:rsidR="005710F8">
        <w:t xml:space="preserve">, </w:t>
      </w:r>
      <w:r w:rsidRPr="000446FB">
        <w:t>group assignments</w:t>
      </w:r>
      <w:r w:rsidR="005710F8">
        <w:t>, case stuies, d</w:t>
      </w:r>
      <w:r w:rsidR="00F344B6">
        <w:t>iscussions</w:t>
      </w:r>
      <w:r w:rsidR="005710F8">
        <w:t>, quizzes</w:t>
      </w:r>
      <w:r w:rsidRPr="000446FB">
        <w:tab/>
        <w:t xml:space="preserve">  </w:t>
      </w:r>
      <w:r w:rsidR="005710F8">
        <w:t>80</w:t>
      </w:r>
    </w:p>
    <w:p w:rsidR="00F344B6" w:rsidRPr="000446FB" w:rsidRDefault="003161EF" w:rsidP="005946CC">
      <w:r>
        <w:tab/>
      </w:r>
      <w:r w:rsidR="005710F8">
        <w:t>Presentation</w:t>
      </w:r>
      <w:r w:rsidR="005710F8">
        <w:tab/>
      </w:r>
      <w:r w:rsidR="005710F8">
        <w:tab/>
      </w:r>
      <w:r w:rsidR="00F344B6">
        <w:tab/>
      </w:r>
      <w:r w:rsidR="00F344B6">
        <w:tab/>
      </w:r>
      <w:r w:rsidR="00F344B6">
        <w:tab/>
      </w:r>
      <w:r w:rsidR="00F344B6">
        <w:tab/>
        <w:t xml:space="preserve">  </w:t>
      </w:r>
      <w:r w:rsidR="005710F8">
        <w:tab/>
      </w:r>
      <w:r w:rsidR="005710F8">
        <w:tab/>
        <w:t xml:space="preserve">  5</w:t>
      </w:r>
      <w:r w:rsidR="00F344B6">
        <w:t>0</w:t>
      </w:r>
    </w:p>
    <w:p w:rsidR="005946CC" w:rsidRPr="000446FB" w:rsidRDefault="005946CC" w:rsidP="005946CC">
      <w:r w:rsidRPr="000446FB">
        <w:tab/>
        <w:t>Research questions*</w:t>
      </w:r>
      <w:r w:rsidRPr="000446FB">
        <w:tab/>
      </w:r>
      <w:r w:rsidRPr="000446FB">
        <w:tab/>
      </w:r>
      <w:r w:rsidRPr="000446FB">
        <w:tab/>
      </w:r>
      <w:r w:rsidRPr="000446FB">
        <w:tab/>
      </w:r>
      <w:r w:rsidRPr="000446FB">
        <w:tab/>
      </w:r>
      <w:r w:rsidR="00F344B6">
        <w:t xml:space="preserve">  </w:t>
      </w:r>
      <w:r w:rsidR="005710F8">
        <w:tab/>
      </w:r>
      <w:r w:rsidR="005710F8">
        <w:tab/>
        <w:t xml:space="preserve">  </w:t>
      </w:r>
      <w:r w:rsidR="00F344B6">
        <w:t>7</w:t>
      </w:r>
      <w:r w:rsidRPr="000446FB">
        <w:t>0</w:t>
      </w:r>
    </w:p>
    <w:p w:rsidR="005946CC" w:rsidRPr="000446FB" w:rsidRDefault="005946CC" w:rsidP="005946CC">
      <w:r w:rsidRPr="000446FB">
        <w:tab/>
        <w:t>Final exam</w:t>
      </w:r>
      <w:r w:rsidRPr="000446FB">
        <w:tab/>
      </w:r>
      <w:r w:rsidRPr="000446FB">
        <w:tab/>
      </w:r>
      <w:r w:rsidRPr="000446FB">
        <w:tab/>
      </w:r>
      <w:r w:rsidRPr="000446FB">
        <w:tab/>
      </w:r>
      <w:r w:rsidRPr="000446FB">
        <w:tab/>
      </w:r>
      <w:r w:rsidRPr="000446FB">
        <w:tab/>
      </w:r>
      <w:r w:rsidR="005710F8">
        <w:t xml:space="preserve">  </w:t>
      </w:r>
      <w:r w:rsidR="005710F8">
        <w:tab/>
      </w:r>
      <w:r w:rsidR="005710F8">
        <w:tab/>
      </w:r>
      <w:r w:rsidRPr="000446FB">
        <w:rPr>
          <w:u w:val="single"/>
        </w:rPr>
        <w:t>100</w:t>
      </w:r>
    </w:p>
    <w:p w:rsidR="005946CC" w:rsidRPr="000446FB" w:rsidRDefault="005946CC" w:rsidP="005946CC">
      <w:r w:rsidRPr="000446FB">
        <w:tab/>
      </w:r>
      <w:r w:rsidRPr="000446FB">
        <w:tab/>
        <w:t>Tota</w:t>
      </w:r>
      <w:r w:rsidR="00F344B6">
        <w:t>l</w:t>
      </w:r>
      <w:r w:rsidR="005710F8">
        <w:tab/>
      </w:r>
      <w:r w:rsidR="005710F8">
        <w:tab/>
      </w:r>
      <w:r w:rsidR="00F344B6">
        <w:tab/>
      </w:r>
      <w:r w:rsidR="00F344B6">
        <w:tab/>
      </w:r>
      <w:r w:rsidR="00F344B6">
        <w:tab/>
      </w:r>
      <w:r w:rsidR="00F344B6">
        <w:tab/>
      </w:r>
      <w:r w:rsidR="00F344B6">
        <w:tab/>
      </w:r>
      <w:r w:rsidR="00F344B6">
        <w:tab/>
      </w:r>
      <w:r w:rsidR="005710F8">
        <w:t>300</w:t>
      </w:r>
    </w:p>
    <w:p w:rsidR="005946CC" w:rsidRPr="000446FB" w:rsidRDefault="005946CC" w:rsidP="005946CC">
      <w:pPr>
        <w:spacing w:before="120"/>
        <w:ind w:left="360"/>
      </w:pPr>
      <w:r w:rsidRPr="000446FB">
        <w:t>Grades will be assigned based on 90% and above is an A, 80% and above a B and 70% and above is a C, etc. Plus and minus (+/-) will be used as well.</w:t>
      </w:r>
    </w:p>
    <w:p w:rsidR="005946CC" w:rsidRPr="000446FB" w:rsidRDefault="005946CC" w:rsidP="005946CC">
      <w:pPr>
        <w:spacing w:before="120"/>
        <w:ind w:left="540" w:hanging="180"/>
        <w:jc w:val="both"/>
      </w:pPr>
    </w:p>
    <w:p w:rsidR="005946CC" w:rsidRPr="000446FB" w:rsidRDefault="005946CC" w:rsidP="005946CC">
      <w:pPr>
        <w:pStyle w:val="BodyTextIndent3"/>
        <w:rPr>
          <w:sz w:val="24"/>
          <w:szCs w:val="24"/>
        </w:rPr>
      </w:pPr>
      <w:r w:rsidRPr="000446FB">
        <w:rPr>
          <w:sz w:val="24"/>
          <w:szCs w:val="24"/>
        </w:rPr>
        <w:t xml:space="preserve">* The set </w:t>
      </w:r>
      <w:r>
        <w:rPr>
          <w:sz w:val="24"/>
          <w:szCs w:val="24"/>
        </w:rPr>
        <w:t xml:space="preserve">of questions </w:t>
      </w:r>
      <w:r w:rsidR="005710F8">
        <w:rPr>
          <w:sz w:val="24"/>
          <w:szCs w:val="24"/>
        </w:rPr>
        <w:t>will be assigned during class</w:t>
      </w:r>
      <w:r w:rsidRPr="000446FB">
        <w:rPr>
          <w:sz w:val="24"/>
          <w:szCs w:val="24"/>
        </w:rPr>
        <w:t xml:space="preserve">. The due date </w:t>
      </w:r>
      <w:r w:rsidR="005710F8">
        <w:rPr>
          <w:sz w:val="24"/>
          <w:szCs w:val="24"/>
        </w:rPr>
        <w:t>is always the following week class session</w:t>
      </w:r>
      <w:r w:rsidRPr="000446FB">
        <w:rPr>
          <w:sz w:val="24"/>
          <w:szCs w:val="24"/>
        </w:rPr>
        <w:t xml:space="preserve">. </w:t>
      </w:r>
    </w:p>
    <w:p w:rsidR="00AD3780" w:rsidRPr="005946CC" w:rsidRDefault="00AD3780" w:rsidP="00AF33FB"/>
    <w:p w:rsidR="00444C92" w:rsidRDefault="00444C92" w:rsidP="00444C92">
      <w:pPr>
        <w:pStyle w:val="Heading2"/>
      </w:pPr>
      <w:r w:rsidRPr="00310987">
        <w:t>University Policies</w:t>
      </w:r>
    </w:p>
    <w:p w:rsidR="00E7754E" w:rsidRPr="00EB16A3" w:rsidRDefault="00E7754E" w:rsidP="00E7754E">
      <w:pPr>
        <w:pStyle w:val="Heading3"/>
      </w:pPr>
      <w:r w:rsidRPr="00EB16A3">
        <w:t xml:space="preserve">General </w:t>
      </w:r>
      <w:r w:rsidR="006C7A06" w:rsidRPr="00EB16A3">
        <w:t>E</w:t>
      </w:r>
      <w:r w:rsidRPr="00EB16A3">
        <w:t xml:space="preserve">xpectations, </w:t>
      </w:r>
      <w:r w:rsidR="006C7A06" w:rsidRPr="00EB16A3">
        <w:t>R</w:t>
      </w:r>
      <w:r w:rsidRPr="00EB16A3">
        <w:t xml:space="preserve">ights and </w:t>
      </w:r>
      <w:r w:rsidR="006C7A06" w:rsidRPr="00EB16A3">
        <w:t>R</w:t>
      </w:r>
      <w:r w:rsidRPr="00EB16A3">
        <w:t>esponsibilities</w:t>
      </w:r>
      <w:r w:rsidR="006C7A06" w:rsidRPr="00EB16A3">
        <w:t xml:space="preserve"> of the Student</w:t>
      </w:r>
    </w:p>
    <w:p w:rsidR="0008293C" w:rsidRPr="00310987" w:rsidRDefault="00E7754E" w:rsidP="001D6CEA">
      <w:pPr>
        <w:pStyle w:val="Normalnumbered"/>
        <w:numPr>
          <w:ilvl w:val="0"/>
          <w:numId w:val="0"/>
        </w:numPr>
      </w:pPr>
      <w:r w:rsidRPr="00EB16A3">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2" w:history="1">
        <w:r w:rsidRPr="00EB16A3">
          <w:rPr>
            <w:rStyle w:val="Hyperlink"/>
            <w:color w:val="auto"/>
          </w:rPr>
          <w:t>University Policy S90–5</w:t>
        </w:r>
      </w:hyperlink>
      <w:r w:rsidRPr="00EB16A3">
        <w:t xml:space="preserve"> at </w:t>
      </w:r>
      <w:r w:rsidR="006C7A06" w:rsidRPr="00EB16A3">
        <w:t>http://www.sjsu.edu/senate/docs/S90-5.pdf.</w:t>
      </w:r>
      <w:r w:rsidRPr="00EB16A3">
        <w:t xml:space="preserve"> </w:t>
      </w:r>
      <w:r w:rsidR="00FE1801" w:rsidRPr="00EB16A3">
        <w:t xml:space="preserve">More detailed information on a variety of related topics is available in the </w:t>
      </w:r>
      <w:hyperlink r:id="rId13" w:history="1">
        <w:r w:rsidR="006C7A06" w:rsidRPr="00EB16A3">
          <w:rPr>
            <w:rStyle w:val="Hyperlink"/>
          </w:rPr>
          <w:t>SJSU catalog</w:t>
        </w:r>
      </w:hyperlink>
      <w:r w:rsidR="00FE1801" w:rsidRPr="00EB16A3">
        <w:t>, at http://info.sjsu.edu/web-dbgen/narr/catalog/rec-12234.12506.html</w:t>
      </w:r>
      <w:r w:rsidR="006C7A06" w:rsidRPr="00EB16A3">
        <w:t>.</w:t>
      </w:r>
      <w:r w:rsidR="00FE1801" w:rsidRPr="00EB16A3">
        <w:t xml:space="preserve"> </w:t>
      </w:r>
      <w:r w:rsidRPr="00EB16A3">
        <w:t>In general, it is recommended that students begin by seek</w:t>
      </w:r>
      <w:r w:rsidR="00F22320" w:rsidRPr="00EB16A3">
        <w:t xml:space="preserve">ing </w:t>
      </w:r>
      <w:r w:rsidRPr="00EB16A3">
        <w:t xml:space="preserve">clarification or discussing </w:t>
      </w:r>
      <w:r w:rsidRPr="00EB16A3">
        <w:lastRenderedPageBreak/>
        <w:t xml:space="preserve">concerns with their </w:t>
      </w:r>
      <w:r w:rsidR="00F22320" w:rsidRPr="00EB16A3">
        <w:t>i</w:t>
      </w:r>
      <w:r w:rsidRPr="00EB16A3">
        <w:t xml:space="preserve">nstructor.  </w:t>
      </w:r>
      <w:r w:rsidR="00F22320" w:rsidRPr="00EB16A3">
        <w:t>If such conversation is not possible, or if it does not serve to address the issue, it is recommended that the student contact the Department Chair as a next step.</w:t>
      </w:r>
    </w:p>
    <w:p w:rsidR="00444C92" w:rsidRPr="00310987" w:rsidRDefault="00444C92" w:rsidP="00444C92">
      <w:pPr>
        <w:pStyle w:val="Heading3"/>
      </w:pPr>
      <w:r w:rsidRPr="00310987">
        <w:t>Academic integrity</w:t>
      </w:r>
    </w:p>
    <w:p w:rsidR="00D6444F" w:rsidRPr="00310987" w:rsidRDefault="00411924" w:rsidP="00444C92">
      <w:pPr>
        <w:pStyle w:val="BodyText"/>
        <w:rPr>
          <w:bCs/>
        </w:rPr>
      </w:pPr>
      <w:r w:rsidRPr="00310987">
        <w:t xml:space="preserve">Your </w:t>
      </w:r>
      <w:r w:rsidR="00444C92" w:rsidRPr="00310987">
        <w:rPr>
          <w:bCs/>
        </w:rPr>
        <w:t>commitment</w:t>
      </w:r>
      <w:r w:rsidR="00174590" w:rsidRPr="00310987">
        <w:rPr>
          <w:bCs/>
        </w:rPr>
        <w:t>,</w:t>
      </w:r>
      <w:r w:rsidR="00444C92" w:rsidRPr="00310987">
        <w:rPr>
          <w:bCs/>
        </w:rPr>
        <w:t xml:space="preserve"> </w:t>
      </w:r>
      <w:r w:rsidRPr="00310987">
        <w:rPr>
          <w:bCs/>
        </w:rPr>
        <w:t>as a student</w:t>
      </w:r>
      <w:r w:rsidR="00174590" w:rsidRPr="00310987">
        <w:rPr>
          <w:bCs/>
        </w:rPr>
        <w:t>,</w:t>
      </w:r>
      <w:r w:rsidRPr="00310987">
        <w:rPr>
          <w:bCs/>
        </w:rPr>
        <w:t xml:space="preserve"> to learning i</w:t>
      </w:r>
      <w:r w:rsidR="00444C92" w:rsidRPr="00310987">
        <w:rPr>
          <w:bCs/>
        </w:rPr>
        <w:t xml:space="preserve">s evidenced by </w:t>
      </w:r>
      <w:r w:rsidRPr="00310987">
        <w:rPr>
          <w:bCs/>
        </w:rPr>
        <w:t>your</w:t>
      </w:r>
      <w:r w:rsidR="00444C92" w:rsidRPr="00310987">
        <w:rPr>
          <w:bCs/>
        </w:rPr>
        <w:t xml:space="preserve"> enrollment at San Jose State University</w:t>
      </w:r>
      <w:r w:rsidRPr="00310987">
        <w:rPr>
          <w:bCs/>
        </w:rPr>
        <w:t xml:space="preserve">. </w:t>
      </w:r>
      <w:r w:rsidR="00444C92" w:rsidRPr="00310987">
        <w:rPr>
          <w:bCs/>
        </w:rPr>
        <w:t xml:space="preserve"> </w:t>
      </w:r>
      <w:r w:rsidRPr="00310987">
        <w:rPr>
          <w:bCs/>
        </w:rPr>
        <w:t>The</w:t>
      </w:r>
      <w:r w:rsidR="00444C92" w:rsidRPr="00310987">
        <w:rPr>
          <w:bCs/>
        </w:rPr>
        <w:t xml:space="preserve"> </w:t>
      </w:r>
      <w:hyperlink r:id="rId14" w:history="1">
        <w:r w:rsidR="00B13851" w:rsidRPr="00310987">
          <w:rPr>
            <w:rStyle w:val="Hyperlink"/>
            <w:bCs/>
          </w:rPr>
          <w:t>University Acad</w:t>
        </w:r>
        <w:r w:rsidR="00B13851" w:rsidRPr="00310987">
          <w:rPr>
            <w:rStyle w:val="Hyperlink"/>
            <w:bCs/>
          </w:rPr>
          <w:t>e</w:t>
        </w:r>
        <w:r w:rsidR="00B13851" w:rsidRPr="00310987">
          <w:rPr>
            <w:rStyle w:val="Hyperlink"/>
            <w:bCs/>
          </w:rPr>
          <w:t>mic I</w:t>
        </w:r>
        <w:r w:rsidR="00B13851" w:rsidRPr="00310987">
          <w:rPr>
            <w:rStyle w:val="Hyperlink"/>
            <w:bCs/>
          </w:rPr>
          <w:t>n</w:t>
        </w:r>
        <w:r w:rsidR="00B13851" w:rsidRPr="00310987">
          <w:rPr>
            <w:rStyle w:val="Hyperlink"/>
            <w:bCs/>
          </w:rPr>
          <w:t>t</w:t>
        </w:r>
        <w:r w:rsidR="00B13851" w:rsidRPr="00310987">
          <w:rPr>
            <w:rStyle w:val="Hyperlink"/>
            <w:bCs/>
          </w:rPr>
          <w:t>egrity Policy S07-2</w:t>
        </w:r>
      </w:hyperlink>
      <w:r w:rsidR="005C4B3C" w:rsidRPr="00310987">
        <w:rPr>
          <w:bCs/>
        </w:rPr>
        <w:t xml:space="preserve"> </w:t>
      </w:r>
      <w:r w:rsidRPr="00310987">
        <w:rPr>
          <w:bCs/>
        </w:rPr>
        <w:t xml:space="preserve">at </w:t>
      </w:r>
      <w:r w:rsidR="00D93301" w:rsidRPr="00310987">
        <w:rPr>
          <w:bCs/>
        </w:rPr>
        <w:t>http://www.sjsu.edu/senate/docs/S07-2.pdf</w:t>
      </w:r>
      <w:r w:rsidRPr="00310987">
        <w:rPr>
          <w:bCs/>
        </w:rPr>
        <w:t xml:space="preserve"> </w:t>
      </w:r>
      <w:r w:rsidR="00444C92" w:rsidRPr="00310987">
        <w:rPr>
          <w:bCs/>
        </w:rPr>
        <w:t>require</w:t>
      </w:r>
      <w:r w:rsidRPr="00310987">
        <w:rPr>
          <w:bCs/>
        </w:rPr>
        <w:t>s</w:t>
      </w:r>
      <w:r w:rsidR="00C762CC" w:rsidRPr="00310987">
        <w:rPr>
          <w:bCs/>
        </w:rPr>
        <w:t xml:space="preserve"> </w:t>
      </w:r>
      <w:r w:rsidR="00444C92" w:rsidRPr="00310987">
        <w:rPr>
          <w:bCs/>
        </w:rPr>
        <w:t xml:space="preserve">you to be honest in all your academic course work. Faculty members are required to report all infractions to the office of Student Conduct and Ethical Development. The </w:t>
      </w:r>
      <w:hyperlink r:id="rId15" w:history="1">
        <w:r w:rsidR="00444C92" w:rsidRPr="00310987">
          <w:rPr>
            <w:rStyle w:val="Hyperlink"/>
            <w:bCs/>
          </w:rPr>
          <w:t>Stude</w:t>
        </w:r>
        <w:r w:rsidR="00444C92" w:rsidRPr="00310987">
          <w:rPr>
            <w:rStyle w:val="Hyperlink"/>
            <w:bCs/>
          </w:rPr>
          <w:t>n</w:t>
        </w:r>
        <w:r w:rsidR="00444C92" w:rsidRPr="00310987">
          <w:rPr>
            <w:rStyle w:val="Hyperlink"/>
            <w:bCs/>
          </w:rPr>
          <w:t xml:space="preserve">t </w:t>
        </w:r>
        <w:r w:rsidR="00444C92" w:rsidRPr="00310987">
          <w:rPr>
            <w:rStyle w:val="Hyperlink"/>
            <w:bCs/>
          </w:rPr>
          <w:t>C</w:t>
        </w:r>
        <w:r w:rsidR="00444C92" w:rsidRPr="00310987">
          <w:rPr>
            <w:rStyle w:val="Hyperlink"/>
            <w:bCs/>
          </w:rPr>
          <w:t xml:space="preserve">onduct and Ethical Development </w:t>
        </w:r>
        <w:r w:rsidR="00F61B7F" w:rsidRPr="00310987">
          <w:rPr>
            <w:rStyle w:val="Hyperlink"/>
            <w:bCs/>
          </w:rPr>
          <w:t>website</w:t>
        </w:r>
      </w:hyperlink>
      <w:r w:rsidR="00F61B7F" w:rsidRPr="00310987">
        <w:rPr>
          <w:bCs/>
        </w:rPr>
        <w:t xml:space="preserve"> </w:t>
      </w:r>
      <w:r w:rsidR="00444C92" w:rsidRPr="00310987">
        <w:rPr>
          <w:bCs/>
        </w:rPr>
        <w:t xml:space="preserve">is available at </w:t>
      </w:r>
      <w:r w:rsidR="0003291E" w:rsidRPr="00310987">
        <w:rPr>
          <w:bCs/>
        </w:rPr>
        <w:t>http://www.sjsu.edu/studentconduct/</w:t>
      </w:r>
      <w:r w:rsidR="00444C92" w:rsidRPr="00310987">
        <w:rPr>
          <w:bCs/>
        </w:rPr>
        <w:t xml:space="preserve">. </w:t>
      </w:r>
    </w:p>
    <w:p w:rsidR="00444C92" w:rsidRPr="00310987" w:rsidRDefault="00444C92" w:rsidP="00444C92">
      <w:pPr>
        <w:pStyle w:val="Heading3"/>
      </w:pPr>
      <w:r w:rsidRPr="00310987">
        <w:t>Campus Policy in Compliance with the American Disabilities Act</w:t>
      </w:r>
    </w:p>
    <w:p w:rsidR="00444C92" w:rsidRDefault="00444C92" w:rsidP="00444C92">
      <w:pPr>
        <w:pStyle w:val="BodyText"/>
      </w:pPr>
      <w:r w:rsidRPr="00310987">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6" w:history="1">
        <w:r w:rsidRPr="00310987">
          <w:rPr>
            <w:rStyle w:val="Hyperlink"/>
          </w:rPr>
          <w:t>Pres</w:t>
        </w:r>
        <w:r w:rsidRPr="00310987">
          <w:rPr>
            <w:rStyle w:val="Hyperlink"/>
          </w:rPr>
          <w:t>i</w:t>
        </w:r>
        <w:r w:rsidRPr="00310987">
          <w:rPr>
            <w:rStyle w:val="Hyperlink"/>
          </w:rPr>
          <w:t>dential Directive 9</w:t>
        </w:r>
        <w:r w:rsidRPr="00310987">
          <w:rPr>
            <w:rStyle w:val="Hyperlink"/>
          </w:rPr>
          <w:t>7</w:t>
        </w:r>
        <w:r w:rsidRPr="00310987">
          <w:rPr>
            <w:rStyle w:val="Hyperlink"/>
          </w:rPr>
          <w:t>-03</w:t>
        </w:r>
      </w:hyperlink>
      <w:r w:rsidR="0087263C" w:rsidRPr="00310987">
        <w:t xml:space="preserve"> at </w:t>
      </w:r>
      <w:hyperlink r:id="rId17" w:history="1">
        <w:r w:rsidR="00556A05" w:rsidRPr="007449FA">
          <w:rPr>
            <w:rStyle w:val="Hyperlink"/>
          </w:rPr>
          <w:t>http://www.sjsu.edu/president/docs/directives/PD_1997-03.pdf</w:t>
        </w:r>
      </w:hyperlink>
      <w:r w:rsidR="00556A05">
        <w:t xml:space="preserve"> </w:t>
      </w:r>
      <w:r w:rsidRPr="00310987">
        <w:t xml:space="preserve"> requires that students with disabilities requesting accommodati</w:t>
      </w:r>
      <w:r w:rsidR="00640524" w:rsidRPr="00310987">
        <w:t xml:space="preserve">ons must register with the </w:t>
      </w:r>
      <w:hyperlink r:id="rId18" w:history="1">
        <w:r w:rsidR="009438C2" w:rsidRPr="00310987">
          <w:rPr>
            <w:rStyle w:val="Hyperlink"/>
          </w:rPr>
          <w:t>Accessible Education</w:t>
        </w:r>
        <w:r w:rsidR="009438C2" w:rsidRPr="00310987">
          <w:rPr>
            <w:rStyle w:val="Hyperlink"/>
          </w:rPr>
          <w:t xml:space="preserve"> </w:t>
        </w:r>
        <w:r w:rsidR="009438C2" w:rsidRPr="00310987">
          <w:rPr>
            <w:rStyle w:val="Hyperlink"/>
          </w:rPr>
          <w:t>Center</w:t>
        </w:r>
      </w:hyperlink>
      <w:r w:rsidR="009438C2" w:rsidRPr="00310987">
        <w:t xml:space="preserve"> (AE</w:t>
      </w:r>
      <w:r w:rsidR="00640524" w:rsidRPr="00310987">
        <w:t>C</w:t>
      </w:r>
      <w:r w:rsidRPr="00310987">
        <w:t xml:space="preserve">) </w:t>
      </w:r>
      <w:r w:rsidR="00640524" w:rsidRPr="00310987">
        <w:t xml:space="preserve">at </w:t>
      </w:r>
      <w:hyperlink r:id="rId19" w:history="1">
        <w:r w:rsidR="00A77C1F" w:rsidRPr="007449FA">
          <w:rPr>
            <w:rStyle w:val="Hyperlink"/>
          </w:rPr>
          <w:t>http://www.sjsu.edu/aec</w:t>
        </w:r>
      </w:hyperlink>
      <w:r w:rsidR="00A77C1F">
        <w:t xml:space="preserve"> </w:t>
      </w:r>
      <w:r w:rsidR="00640524" w:rsidRPr="00310987">
        <w:t xml:space="preserve"> </w:t>
      </w:r>
      <w:r w:rsidRPr="00310987">
        <w:t xml:space="preserve">to establish a record of </w:t>
      </w:r>
      <w:r w:rsidR="006A6EDC" w:rsidRPr="00310987">
        <w:t>their</w:t>
      </w:r>
      <w:r w:rsidRPr="00310987">
        <w:t xml:space="preserve"> disability.</w:t>
      </w:r>
    </w:p>
    <w:p w:rsidR="003161EF" w:rsidRDefault="003161EF" w:rsidP="003161EF">
      <w:pPr>
        <w:spacing w:after="120"/>
      </w:pPr>
      <w:r>
        <w:rPr>
          <w:b/>
          <w:sz w:val="22"/>
          <w:szCs w:val="22"/>
        </w:rPr>
        <w:t xml:space="preserve">Commitment: </w:t>
      </w:r>
      <w:r>
        <w:rPr>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t xml:space="preserve">More details about student workload can be found in </w:t>
      </w:r>
      <w:hyperlink r:id="rId20" w:history="1">
        <w:r>
          <w:rPr>
            <w:rStyle w:val="Hyperlink"/>
          </w:rPr>
          <w:t>University Policy S12-3</w:t>
        </w:r>
      </w:hyperlink>
      <w:r>
        <w:t xml:space="preserve"> at </w:t>
      </w:r>
      <w:hyperlink r:id="rId21" w:history="1">
        <w:r>
          <w:rPr>
            <w:rStyle w:val="Hyperlink"/>
          </w:rPr>
          <w:t>http://www.sjsu.edu/senate/docs/S12-3.pdf</w:t>
        </w:r>
      </w:hyperlink>
      <w:r>
        <w:t>.</w:t>
      </w:r>
    </w:p>
    <w:p w:rsidR="003161EF" w:rsidRPr="00310987" w:rsidRDefault="003161EF" w:rsidP="00444C92">
      <w:pPr>
        <w:pStyle w:val="BodyText"/>
      </w:pPr>
    </w:p>
    <w:p w:rsidR="00B37AD8" w:rsidRPr="00310987" w:rsidRDefault="004A0E10" w:rsidP="008A07D1">
      <w:pPr>
        <w:pStyle w:val="NormalWeb"/>
        <w:shd w:val="clear" w:color="auto" w:fill="FFFFFF"/>
        <w:rPr>
          <w:noProof/>
        </w:rPr>
      </w:pPr>
      <w:r w:rsidRPr="00310987">
        <w:rPr>
          <w:noProof/>
        </w:rPr>
        <w:t xml:space="preserve"> </w:t>
      </w:r>
    </w:p>
    <w:p w:rsidR="00444C92" w:rsidRPr="00310987" w:rsidRDefault="000E0892" w:rsidP="00A4697D">
      <w:pPr>
        <w:pStyle w:val="Heading1"/>
        <w:jc w:val="left"/>
      </w:pPr>
      <w:r w:rsidRPr="00310987">
        <w:br w:type="page"/>
      </w:r>
      <w:r w:rsidR="003161EF">
        <w:lastRenderedPageBreak/>
        <w:t>BUS 225Y, Accounting Ethics, Spring 2016</w:t>
      </w:r>
    </w:p>
    <w:p w:rsidR="00444C92" w:rsidRPr="00310987" w:rsidRDefault="00EB16A3" w:rsidP="00444C92">
      <w:pPr>
        <w:rPr>
          <w:i/>
        </w:rPr>
      </w:pPr>
      <w:r>
        <w:rPr>
          <w:i/>
        </w:rPr>
        <w:t>This s</w:t>
      </w:r>
      <w:r w:rsidR="00444C92" w:rsidRPr="00310987">
        <w:rPr>
          <w:i/>
        </w:rPr>
        <w:t xml:space="preserve">chedule is subject to change with fair notice </w:t>
      </w:r>
      <w:r>
        <w:rPr>
          <w:i/>
        </w:rPr>
        <w:t>with notification via email or class announcement</w:t>
      </w:r>
      <w:r w:rsidR="00444C92" w:rsidRPr="00310987">
        <w:rPr>
          <w:i/>
        </w:rPr>
        <w:t xml:space="preserve">. </w:t>
      </w:r>
    </w:p>
    <w:p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8154"/>
      </w:tblGrid>
      <w:tr w:rsidR="00444C92" w:rsidRPr="00310987" w:rsidTr="00371E37">
        <w:trPr>
          <w:trHeight w:val="288"/>
          <w:tblHeader/>
        </w:trPr>
        <w:tc>
          <w:tcPr>
            <w:tcW w:w="864" w:type="dxa"/>
          </w:tcPr>
          <w:p w:rsidR="00444C92" w:rsidRPr="00310987" w:rsidRDefault="00EB16A3" w:rsidP="001D6CEA">
            <w:pPr>
              <w:pStyle w:val="contactheading"/>
              <w:jc w:val="center"/>
            </w:pPr>
            <w:r>
              <w:t>Class</w:t>
            </w:r>
          </w:p>
        </w:tc>
        <w:tc>
          <w:tcPr>
            <w:tcW w:w="1440" w:type="dxa"/>
          </w:tcPr>
          <w:p w:rsidR="00444C92" w:rsidRPr="00310987" w:rsidRDefault="00444C92" w:rsidP="001D6CEA">
            <w:pPr>
              <w:pStyle w:val="contactheading"/>
              <w:jc w:val="center"/>
            </w:pPr>
            <w:r w:rsidRPr="00310987">
              <w:t>Date</w:t>
            </w:r>
          </w:p>
        </w:tc>
        <w:tc>
          <w:tcPr>
            <w:tcW w:w="8154" w:type="dxa"/>
          </w:tcPr>
          <w:p w:rsidR="00444C92" w:rsidRPr="00310987" w:rsidRDefault="005946CC" w:rsidP="005946CC">
            <w:pPr>
              <w:pStyle w:val="contactheading"/>
              <w:jc w:val="center"/>
            </w:pPr>
            <w:r>
              <w:t>Topics, Readings, Assignments</w:t>
            </w:r>
          </w:p>
        </w:tc>
      </w:tr>
      <w:tr w:rsidR="00444C92" w:rsidRPr="00310987" w:rsidTr="00371E37">
        <w:trPr>
          <w:trHeight w:val="288"/>
        </w:trPr>
        <w:tc>
          <w:tcPr>
            <w:tcW w:w="864" w:type="dxa"/>
            <w:tcBorders>
              <w:bottom w:val="single" w:sz="4" w:space="0" w:color="auto"/>
            </w:tcBorders>
          </w:tcPr>
          <w:p w:rsidR="00444C92" w:rsidRPr="00310987" w:rsidRDefault="00444C92" w:rsidP="001D6CEA">
            <w:pPr>
              <w:pStyle w:val="Tabletext"/>
              <w:jc w:val="center"/>
            </w:pPr>
            <w:r w:rsidRPr="00310987">
              <w:t>1</w:t>
            </w:r>
          </w:p>
        </w:tc>
        <w:tc>
          <w:tcPr>
            <w:tcW w:w="1440" w:type="dxa"/>
            <w:tcBorders>
              <w:bottom w:val="single" w:sz="4" w:space="0" w:color="auto"/>
            </w:tcBorders>
          </w:tcPr>
          <w:p w:rsidR="00444C92" w:rsidRPr="00310987" w:rsidRDefault="005710F8" w:rsidP="005710F8">
            <w:pPr>
              <w:pStyle w:val="Tabletext"/>
              <w:jc w:val="center"/>
            </w:pPr>
            <w:r>
              <w:t>4</w:t>
            </w:r>
            <w:r w:rsidR="00EB16A3">
              <w:t>/2</w:t>
            </w:r>
            <w:r>
              <w:t>0</w:t>
            </w:r>
          </w:p>
        </w:tc>
        <w:tc>
          <w:tcPr>
            <w:tcW w:w="8154" w:type="dxa"/>
            <w:tcBorders>
              <w:bottom w:val="single" w:sz="4" w:space="0" w:color="auto"/>
            </w:tcBorders>
          </w:tcPr>
          <w:p w:rsidR="00444C92" w:rsidRDefault="00FB0206" w:rsidP="00671DB6">
            <w:pPr>
              <w:pStyle w:val="Tabletext"/>
            </w:pPr>
            <w:r>
              <w:t>Ethics and Accounting – definitions, professionalism, integrity, relevance to accounting and tax practice.</w:t>
            </w:r>
          </w:p>
          <w:p w:rsidR="00FB0206" w:rsidRDefault="00FB0206" w:rsidP="00FB0206">
            <w:pPr>
              <w:rPr>
                <w:lang w:eastAsia="en-US"/>
              </w:rPr>
            </w:pPr>
            <w:r>
              <w:rPr>
                <w:lang w:eastAsia="en-US"/>
              </w:rPr>
              <w:t>Text – Chapter 1</w:t>
            </w:r>
          </w:p>
          <w:p w:rsidR="00FB0206" w:rsidRDefault="00FB0206" w:rsidP="00FB0206">
            <w:pPr>
              <w:rPr>
                <w:lang w:eastAsia="en-US"/>
              </w:rPr>
            </w:pPr>
            <w:r>
              <w:rPr>
                <w:lang w:eastAsia="en-US"/>
              </w:rPr>
              <w:t>Prepare to discuss Chapter 1 cases 1, 5, 6 and 10</w:t>
            </w:r>
          </w:p>
          <w:p w:rsidR="00FB0206" w:rsidRDefault="00FB0206" w:rsidP="00FB0206">
            <w:pPr>
              <w:rPr>
                <w:lang w:eastAsia="en-US"/>
              </w:rPr>
            </w:pPr>
            <w:r>
              <w:rPr>
                <w:lang w:eastAsia="en-US"/>
              </w:rPr>
              <w:t>See additional readings posted on Canvas</w:t>
            </w:r>
          </w:p>
          <w:p w:rsidR="00FB0206" w:rsidRPr="00FB0206" w:rsidRDefault="00FB0206" w:rsidP="00FB0206">
            <w:pPr>
              <w:rPr>
                <w:lang w:eastAsia="en-US"/>
              </w:rPr>
            </w:pPr>
          </w:p>
        </w:tc>
      </w:tr>
      <w:tr w:rsidR="005710F8" w:rsidRPr="00310987" w:rsidTr="00371E37">
        <w:trPr>
          <w:trHeight w:val="288"/>
        </w:trPr>
        <w:tc>
          <w:tcPr>
            <w:tcW w:w="864" w:type="dxa"/>
          </w:tcPr>
          <w:p w:rsidR="005710F8" w:rsidRPr="00310987" w:rsidRDefault="002A568C" w:rsidP="001D6CEA">
            <w:pPr>
              <w:pStyle w:val="Tabletext"/>
              <w:jc w:val="center"/>
            </w:pPr>
            <w:r>
              <w:t>2</w:t>
            </w:r>
          </w:p>
        </w:tc>
        <w:tc>
          <w:tcPr>
            <w:tcW w:w="1440" w:type="dxa"/>
          </w:tcPr>
          <w:p w:rsidR="005710F8" w:rsidRDefault="002A568C" w:rsidP="005710F8">
            <w:pPr>
              <w:pStyle w:val="Tabletext"/>
              <w:jc w:val="center"/>
            </w:pPr>
            <w:r>
              <w:t>4/27</w:t>
            </w:r>
          </w:p>
        </w:tc>
        <w:tc>
          <w:tcPr>
            <w:tcW w:w="8154" w:type="dxa"/>
          </w:tcPr>
          <w:p w:rsidR="002A568C" w:rsidRDefault="002A568C" w:rsidP="005710F8">
            <w:pPr>
              <w:pStyle w:val="Tabletext"/>
            </w:pPr>
            <w:r>
              <w:t>Annette Nellen to present Ethics Checklist of Tax Practitioners</w:t>
            </w:r>
          </w:p>
          <w:p w:rsidR="002A568C" w:rsidRDefault="002A568C" w:rsidP="005710F8">
            <w:pPr>
              <w:pStyle w:val="Tabletext"/>
            </w:pPr>
          </w:p>
          <w:p w:rsidR="005710F8" w:rsidRDefault="005710F8" w:rsidP="005710F8">
            <w:pPr>
              <w:pStyle w:val="Tabletext"/>
            </w:pPr>
            <w:r>
              <w:t>Additional Rules of Conduct for Tax Practitioners</w:t>
            </w:r>
          </w:p>
          <w:p w:rsidR="005710F8" w:rsidRDefault="005710F8" w:rsidP="005710F8">
            <w:pPr>
              <w:pStyle w:val="Tabletext"/>
            </w:pPr>
            <w:r>
              <w:t>Text – Chapter 4, pages 213-222</w:t>
            </w:r>
          </w:p>
          <w:p w:rsidR="005710F8" w:rsidRDefault="005710F8" w:rsidP="005710F8">
            <w:pPr>
              <w:pStyle w:val="Tabletext"/>
            </w:pPr>
            <w:r>
              <w:t>See additional readings posted on Canvas including Circular 230, AICPA SSTSs and IRC Section 6694 and regulations.</w:t>
            </w:r>
          </w:p>
          <w:p w:rsidR="002A568C" w:rsidRDefault="002A568C" w:rsidP="002A568C">
            <w:pPr>
              <w:rPr>
                <w:lang w:eastAsia="en-US"/>
              </w:rPr>
            </w:pPr>
          </w:p>
          <w:p w:rsidR="00F346D5" w:rsidRDefault="00F346D5" w:rsidP="00F346D5">
            <w:pPr>
              <w:rPr>
                <w:lang w:eastAsia="en-US"/>
              </w:rPr>
            </w:pPr>
            <w:r>
              <w:rPr>
                <w:lang w:eastAsia="en-US"/>
              </w:rPr>
              <w:t>AICPA Code of Professional Conduct – how developed and enforced, framework, how to use, conceptual framework model, comparison to state CPA rules of conduct and international standards.</w:t>
            </w:r>
          </w:p>
          <w:p w:rsidR="00F346D5" w:rsidRDefault="00F346D5" w:rsidP="00F346D5">
            <w:pPr>
              <w:rPr>
                <w:lang w:eastAsia="en-US"/>
              </w:rPr>
            </w:pPr>
            <w:r>
              <w:rPr>
                <w:lang w:eastAsia="en-US"/>
              </w:rPr>
              <w:t>Text – Chapter 4, pages 175 - 212</w:t>
            </w:r>
          </w:p>
          <w:p w:rsidR="00F346D5" w:rsidRDefault="00F346D5" w:rsidP="00F346D5">
            <w:pPr>
              <w:rPr>
                <w:lang w:eastAsia="en-US"/>
              </w:rPr>
            </w:pPr>
          </w:p>
          <w:p w:rsidR="00F346D5" w:rsidRDefault="00F346D5" w:rsidP="00F346D5">
            <w:pPr>
              <w:rPr>
                <w:lang w:eastAsia="en-US"/>
              </w:rPr>
            </w:pPr>
            <w:r>
              <w:rPr>
                <w:lang w:eastAsia="en-US"/>
              </w:rPr>
              <w:t>Prepare to discuss Chapter 4 cases 1, 5, and 6</w:t>
            </w:r>
          </w:p>
          <w:p w:rsidR="002A568C" w:rsidRPr="002A568C" w:rsidRDefault="00F346D5" w:rsidP="00F346D5">
            <w:pPr>
              <w:rPr>
                <w:lang w:eastAsia="en-US"/>
              </w:rPr>
            </w:pPr>
            <w:r>
              <w:rPr>
                <w:lang w:eastAsia="en-US"/>
              </w:rPr>
              <w:t>See additional readings posted on Canvas including the AICPA Rules of Professional Conduct</w:t>
            </w:r>
          </w:p>
        </w:tc>
      </w:tr>
      <w:tr w:rsidR="00444C92" w:rsidRPr="00310987" w:rsidTr="00371E37">
        <w:trPr>
          <w:trHeight w:val="288"/>
        </w:trPr>
        <w:tc>
          <w:tcPr>
            <w:tcW w:w="864" w:type="dxa"/>
          </w:tcPr>
          <w:p w:rsidR="00444C92" w:rsidRPr="00310987" w:rsidRDefault="00F346D5" w:rsidP="001D6CEA">
            <w:pPr>
              <w:pStyle w:val="Tabletext"/>
              <w:jc w:val="center"/>
            </w:pPr>
            <w:r>
              <w:t>3</w:t>
            </w:r>
          </w:p>
        </w:tc>
        <w:tc>
          <w:tcPr>
            <w:tcW w:w="1440" w:type="dxa"/>
          </w:tcPr>
          <w:p w:rsidR="00444C92" w:rsidRPr="00310987" w:rsidRDefault="00F346D5" w:rsidP="00F346D5">
            <w:pPr>
              <w:pStyle w:val="Tabletext"/>
              <w:jc w:val="center"/>
            </w:pPr>
            <w:r>
              <w:t>5</w:t>
            </w:r>
            <w:r w:rsidR="00EB16A3">
              <w:t>/</w:t>
            </w:r>
            <w:r>
              <w:t>4</w:t>
            </w:r>
          </w:p>
        </w:tc>
        <w:tc>
          <w:tcPr>
            <w:tcW w:w="8154" w:type="dxa"/>
          </w:tcPr>
          <w:p w:rsidR="00444C92" w:rsidRDefault="00FB0206" w:rsidP="00671DB6">
            <w:pPr>
              <w:pStyle w:val="Tabletext"/>
            </w:pPr>
            <w:r>
              <w:t>Ethical Decision Making in Accounting – cognitive considerations, models, professional judgment</w:t>
            </w:r>
          </w:p>
          <w:p w:rsidR="00FB0206" w:rsidRDefault="00FB0206" w:rsidP="00FB0206">
            <w:pPr>
              <w:rPr>
                <w:lang w:eastAsia="en-US"/>
              </w:rPr>
            </w:pPr>
            <w:r>
              <w:rPr>
                <w:lang w:eastAsia="en-US"/>
              </w:rPr>
              <w:t>Text – Chapter 2</w:t>
            </w:r>
          </w:p>
          <w:p w:rsidR="00FB0206" w:rsidRDefault="00FB0206" w:rsidP="00FB0206">
            <w:pPr>
              <w:rPr>
                <w:lang w:eastAsia="en-US"/>
              </w:rPr>
            </w:pPr>
            <w:r>
              <w:rPr>
                <w:lang w:eastAsia="en-US"/>
              </w:rPr>
              <w:t>Prepare to discuss Chapter 2 cases 1, 3, 5 and 9</w:t>
            </w:r>
          </w:p>
          <w:p w:rsidR="00FB0206" w:rsidRDefault="00FB0206" w:rsidP="00FB0206">
            <w:pPr>
              <w:rPr>
                <w:lang w:eastAsia="en-US"/>
              </w:rPr>
            </w:pPr>
            <w:r>
              <w:rPr>
                <w:lang w:eastAsia="en-US"/>
              </w:rPr>
              <w:t>See additional readings posted on Canvas</w:t>
            </w:r>
          </w:p>
          <w:p w:rsidR="00FB0206" w:rsidRPr="00FB0206" w:rsidRDefault="00FB0206" w:rsidP="00FB0206">
            <w:pPr>
              <w:rPr>
                <w:lang w:eastAsia="en-US"/>
              </w:rPr>
            </w:pPr>
          </w:p>
        </w:tc>
      </w:tr>
      <w:tr w:rsidR="00444C92" w:rsidRPr="00310987" w:rsidTr="00371E37">
        <w:trPr>
          <w:trHeight w:val="288"/>
        </w:trPr>
        <w:tc>
          <w:tcPr>
            <w:tcW w:w="864" w:type="dxa"/>
          </w:tcPr>
          <w:p w:rsidR="00444C92" w:rsidRPr="00310987" w:rsidRDefault="00F346D5" w:rsidP="001D6CEA">
            <w:pPr>
              <w:pStyle w:val="Tabletext"/>
              <w:jc w:val="center"/>
            </w:pPr>
            <w:r>
              <w:t>4</w:t>
            </w:r>
          </w:p>
        </w:tc>
        <w:tc>
          <w:tcPr>
            <w:tcW w:w="1440" w:type="dxa"/>
          </w:tcPr>
          <w:p w:rsidR="00444C92" w:rsidRPr="00310987" w:rsidRDefault="00EB16A3" w:rsidP="001D6CEA">
            <w:pPr>
              <w:pStyle w:val="Tabletext"/>
              <w:jc w:val="center"/>
            </w:pPr>
            <w:r>
              <w:t>5</w:t>
            </w:r>
            <w:r w:rsidR="00F346D5">
              <w:t>/11</w:t>
            </w:r>
          </w:p>
        </w:tc>
        <w:tc>
          <w:tcPr>
            <w:tcW w:w="8154" w:type="dxa"/>
          </w:tcPr>
          <w:p w:rsidR="00444C92" w:rsidRDefault="00FB0206" w:rsidP="00671DB6">
            <w:pPr>
              <w:pStyle w:val="Tabletext"/>
            </w:pPr>
            <w:r>
              <w:t>The Ethical Workplace – creating an ethical organizational environment and corporate governance system, relevance to CPA firm and corporate tax departments, role of corporate ethics, creating an ethical culture and workplace</w:t>
            </w:r>
          </w:p>
          <w:p w:rsidR="00FB0206" w:rsidRDefault="00FB0206" w:rsidP="00FB0206">
            <w:pPr>
              <w:rPr>
                <w:lang w:eastAsia="en-US"/>
              </w:rPr>
            </w:pPr>
            <w:r>
              <w:rPr>
                <w:lang w:eastAsia="en-US"/>
              </w:rPr>
              <w:t>Text – Chapter 3</w:t>
            </w:r>
          </w:p>
          <w:p w:rsidR="00FB0206" w:rsidRDefault="00FB0206" w:rsidP="00FB0206">
            <w:pPr>
              <w:rPr>
                <w:lang w:eastAsia="en-US"/>
              </w:rPr>
            </w:pPr>
            <w:r>
              <w:rPr>
                <w:lang w:eastAsia="en-US"/>
              </w:rPr>
              <w:t>Prepare to discuss Chapter 3 cases 1, 2, 4 and 5</w:t>
            </w:r>
          </w:p>
          <w:p w:rsidR="00FB0206" w:rsidRDefault="00FB0206" w:rsidP="00FB0206">
            <w:pPr>
              <w:rPr>
                <w:lang w:eastAsia="en-US"/>
              </w:rPr>
            </w:pPr>
            <w:r>
              <w:rPr>
                <w:lang w:eastAsia="en-US"/>
              </w:rPr>
              <w:t>See additional readings posted on Canvas</w:t>
            </w:r>
          </w:p>
          <w:p w:rsidR="00FB0206" w:rsidRPr="00FB0206" w:rsidRDefault="00FB0206" w:rsidP="00FB0206">
            <w:pPr>
              <w:rPr>
                <w:lang w:eastAsia="en-US"/>
              </w:rPr>
            </w:pPr>
          </w:p>
        </w:tc>
      </w:tr>
      <w:tr w:rsidR="005F1C5B" w:rsidRPr="00310987" w:rsidTr="00371E37">
        <w:trPr>
          <w:trHeight w:val="288"/>
        </w:trPr>
        <w:tc>
          <w:tcPr>
            <w:tcW w:w="864" w:type="dxa"/>
            <w:tcBorders>
              <w:bottom w:val="single" w:sz="4" w:space="0" w:color="auto"/>
            </w:tcBorders>
          </w:tcPr>
          <w:p w:rsidR="005F1C5B" w:rsidRPr="00310987" w:rsidRDefault="00F346D5" w:rsidP="001D6CEA">
            <w:pPr>
              <w:pStyle w:val="Tabletext"/>
              <w:jc w:val="center"/>
            </w:pPr>
            <w:r>
              <w:t>5</w:t>
            </w:r>
          </w:p>
        </w:tc>
        <w:tc>
          <w:tcPr>
            <w:tcW w:w="1440" w:type="dxa"/>
            <w:tcBorders>
              <w:bottom w:val="single" w:sz="4" w:space="0" w:color="auto"/>
            </w:tcBorders>
          </w:tcPr>
          <w:p w:rsidR="005F1C5B" w:rsidRDefault="00F346D5" w:rsidP="00F346D5">
            <w:pPr>
              <w:pStyle w:val="Tabletext"/>
              <w:jc w:val="center"/>
            </w:pPr>
            <w:r>
              <w:t>5</w:t>
            </w:r>
            <w:r w:rsidR="005946CC">
              <w:t>/1</w:t>
            </w:r>
            <w:r>
              <w:t>4</w:t>
            </w:r>
          </w:p>
          <w:p w:rsidR="00F346D5" w:rsidRPr="00F346D5" w:rsidRDefault="00F346D5" w:rsidP="00F346D5">
            <w:pPr>
              <w:rPr>
                <w:lang w:eastAsia="en-US"/>
              </w:rPr>
            </w:pPr>
            <w:r>
              <w:rPr>
                <w:lang w:eastAsia="en-US"/>
              </w:rPr>
              <w:t>(Saturday)</w:t>
            </w:r>
          </w:p>
        </w:tc>
        <w:tc>
          <w:tcPr>
            <w:tcW w:w="8154" w:type="dxa"/>
            <w:tcBorders>
              <w:bottom w:val="single" w:sz="4" w:space="0" w:color="auto"/>
            </w:tcBorders>
          </w:tcPr>
          <w:p w:rsidR="00F346D5" w:rsidRPr="00FB0206" w:rsidRDefault="00F346D5" w:rsidP="00FB0206">
            <w:pPr>
              <w:rPr>
                <w:lang w:eastAsia="en-US"/>
              </w:rPr>
            </w:pPr>
            <w:r>
              <w:rPr>
                <w:lang w:eastAsia="en-US"/>
              </w:rPr>
              <w:t>Student Presentations</w:t>
            </w:r>
          </w:p>
        </w:tc>
      </w:tr>
      <w:tr w:rsidR="00444C92" w:rsidRPr="00310987" w:rsidTr="00371E37">
        <w:trPr>
          <w:trHeight w:val="288"/>
        </w:trPr>
        <w:tc>
          <w:tcPr>
            <w:tcW w:w="864" w:type="dxa"/>
            <w:tcBorders>
              <w:bottom w:val="single" w:sz="4" w:space="0" w:color="auto"/>
            </w:tcBorders>
          </w:tcPr>
          <w:p w:rsidR="00444C92" w:rsidRPr="00310987" w:rsidRDefault="00F346D5" w:rsidP="001D6CEA">
            <w:pPr>
              <w:pStyle w:val="Tabletext"/>
              <w:jc w:val="center"/>
            </w:pPr>
            <w:r>
              <w:t>6</w:t>
            </w:r>
          </w:p>
        </w:tc>
        <w:tc>
          <w:tcPr>
            <w:tcW w:w="1440" w:type="dxa"/>
            <w:tcBorders>
              <w:bottom w:val="single" w:sz="4" w:space="0" w:color="auto"/>
            </w:tcBorders>
          </w:tcPr>
          <w:p w:rsidR="00444C92" w:rsidRPr="00310987" w:rsidRDefault="00F346D5" w:rsidP="00F346D5">
            <w:pPr>
              <w:pStyle w:val="Tabletext"/>
              <w:jc w:val="center"/>
            </w:pPr>
            <w:r>
              <w:t>5</w:t>
            </w:r>
            <w:r w:rsidR="005946CC">
              <w:t>/1</w:t>
            </w:r>
            <w:r>
              <w:t>8</w:t>
            </w:r>
          </w:p>
        </w:tc>
        <w:tc>
          <w:tcPr>
            <w:tcW w:w="8154" w:type="dxa"/>
            <w:tcBorders>
              <w:bottom w:val="single" w:sz="4" w:space="0" w:color="auto"/>
            </w:tcBorders>
          </w:tcPr>
          <w:p w:rsidR="00444C92" w:rsidRDefault="00F344B6" w:rsidP="00F344B6">
            <w:pPr>
              <w:pStyle w:val="Tabletext"/>
            </w:pPr>
            <w:r>
              <w:t xml:space="preserve">California Board of Accountancy Rules of Conduct – Reg Ethics Session – two hours will be devoted to learning about the CA CPA rules of conduct, how to put </w:t>
            </w:r>
            <w:r>
              <w:lastRenderedPageBreak/>
              <w:t>them in practice, examples of disciplinary actions, etc.</w:t>
            </w:r>
          </w:p>
          <w:p w:rsidR="00F344B6" w:rsidRDefault="00F344B6" w:rsidP="00F344B6">
            <w:pPr>
              <w:rPr>
                <w:lang w:eastAsia="en-US"/>
              </w:rPr>
            </w:pPr>
            <w:r>
              <w:rPr>
                <w:lang w:eastAsia="en-US"/>
              </w:rPr>
              <w:t>Readings posted on Canvas including the CA statute and regs</w:t>
            </w:r>
          </w:p>
          <w:p w:rsidR="00F344B6" w:rsidRPr="00F344B6" w:rsidRDefault="00F344B6" w:rsidP="00F344B6">
            <w:pPr>
              <w:rPr>
                <w:lang w:eastAsia="en-US"/>
              </w:rPr>
            </w:pPr>
            <w:r>
              <w:rPr>
                <w:lang w:eastAsia="en-US"/>
              </w:rPr>
              <w:t>Online video to view as well (1 hour)</w:t>
            </w:r>
          </w:p>
        </w:tc>
      </w:tr>
      <w:tr w:rsidR="005F1C5B" w:rsidRPr="00310987" w:rsidTr="00371E37">
        <w:trPr>
          <w:trHeight w:val="288"/>
        </w:trPr>
        <w:tc>
          <w:tcPr>
            <w:tcW w:w="864" w:type="dxa"/>
            <w:tcBorders>
              <w:bottom w:val="single" w:sz="4" w:space="0" w:color="auto"/>
            </w:tcBorders>
          </w:tcPr>
          <w:p w:rsidR="005F1C5B" w:rsidRPr="00310987" w:rsidRDefault="00F346D5" w:rsidP="001D6CEA">
            <w:pPr>
              <w:pStyle w:val="Tabletext"/>
              <w:jc w:val="center"/>
            </w:pPr>
            <w:r>
              <w:lastRenderedPageBreak/>
              <w:t>7</w:t>
            </w:r>
          </w:p>
        </w:tc>
        <w:tc>
          <w:tcPr>
            <w:tcW w:w="1440" w:type="dxa"/>
            <w:tcBorders>
              <w:bottom w:val="single" w:sz="4" w:space="0" w:color="auto"/>
            </w:tcBorders>
          </w:tcPr>
          <w:p w:rsidR="005F1C5B" w:rsidRPr="00310987" w:rsidRDefault="00F346D5" w:rsidP="00F346D5">
            <w:pPr>
              <w:pStyle w:val="Tabletext"/>
              <w:jc w:val="center"/>
            </w:pPr>
            <w:r>
              <w:t>5</w:t>
            </w:r>
            <w:r w:rsidR="005946CC">
              <w:t>/2</w:t>
            </w:r>
            <w:r>
              <w:t>5</w:t>
            </w:r>
          </w:p>
        </w:tc>
        <w:tc>
          <w:tcPr>
            <w:tcW w:w="8154" w:type="dxa"/>
            <w:tcBorders>
              <w:bottom w:val="single" w:sz="4" w:space="0" w:color="auto"/>
            </w:tcBorders>
          </w:tcPr>
          <w:p w:rsidR="005F1C5B" w:rsidRDefault="00F344B6" w:rsidP="00671DB6">
            <w:pPr>
              <w:pStyle w:val="Tabletext"/>
            </w:pPr>
            <w:r>
              <w:t>Fraud Considerations and Professional Obligations of Auditors</w:t>
            </w:r>
          </w:p>
          <w:p w:rsidR="00F344B6" w:rsidRDefault="00F344B6" w:rsidP="00F344B6">
            <w:pPr>
              <w:rPr>
                <w:lang w:eastAsia="en-US"/>
              </w:rPr>
            </w:pPr>
            <w:r>
              <w:rPr>
                <w:lang w:eastAsia="en-US"/>
              </w:rPr>
              <w:t>Text – Chapters 5 and 6</w:t>
            </w:r>
          </w:p>
          <w:p w:rsidR="00F344B6" w:rsidRPr="00F344B6" w:rsidRDefault="00F344B6" w:rsidP="00F344B6">
            <w:pPr>
              <w:rPr>
                <w:lang w:eastAsia="en-US"/>
              </w:rPr>
            </w:pPr>
            <w:r>
              <w:rPr>
                <w:lang w:eastAsia="en-US"/>
              </w:rPr>
              <w:t>Prepare to discuss Chapter 5 cases 2 and 10, and Chapter 6 cases 4 and 8</w:t>
            </w:r>
          </w:p>
        </w:tc>
      </w:tr>
      <w:tr w:rsidR="005F1C5B" w:rsidRPr="00310987" w:rsidTr="00371E37">
        <w:trPr>
          <w:trHeight w:val="288"/>
        </w:trPr>
        <w:tc>
          <w:tcPr>
            <w:tcW w:w="864" w:type="dxa"/>
            <w:tcBorders>
              <w:bottom w:val="single" w:sz="4" w:space="0" w:color="auto"/>
              <w:right w:val="single" w:sz="4" w:space="0" w:color="auto"/>
            </w:tcBorders>
          </w:tcPr>
          <w:p w:rsidR="005F1C5B" w:rsidRPr="00310987" w:rsidRDefault="005F1C5B" w:rsidP="001D6CEA">
            <w:pPr>
              <w:pStyle w:val="Tabletext"/>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rsidR="005F1C5B" w:rsidRPr="00310987" w:rsidRDefault="00F346D5" w:rsidP="00F346D5">
            <w:pPr>
              <w:pStyle w:val="Tabletext"/>
              <w:jc w:val="center"/>
            </w:pPr>
            <w:r>
              <w:t>6</w:t>
            </w:r>
            <w:r w:rsidR="005946CC">
              <w:t>/</w:t>
            </w:r>
            <w:r>
              <w:t>1</w:t>
            </w:r>
          </w:p>
        </w:tc>
        <w:tc>
          <w:tcPr>
            <w:tcW w:w="8154" w:type="dxa"/>
            <w:tcBorders>
              <w:top w:val="single" w:sz="4" w:space="0" w:color="auto"/>
              <w:left w:val="single" w:sz="4" w:space="0" w:color="auto"/>
              <w:bottom w:val="single" w:sz="4" w:space="0" w:color="auto"/>
              <w:right w:val="single" w:sz="4" w:space="0" w:color="auto"/>
            </w:tcBorders>
          </w:tcPr>
          <w:p w:rsidR="005F1C5B" w:rsidRDefault="00F344B6" w:rsidP="00671DB6">
            <w:pPr>
              <w:pStyle w:val="Tabletext"/>
            </w:pPr>
            <w:r>
              <w:t>Earnings Management and Financial Reporting</w:t>
            </w:r>
          </w:p>
          <w:p w:rsidR="00F344B6" w:rsidRDefault="00F344B6" w:rsidP="00F344B6">
            <w:pPr>
              <w:rPr>
                <w:lang w:eastAsia="en-US"/>
              </w:rPr>
            </w:pPr>
            <w:r>
              <w:rPr>
                <w:lang w:eastAsia="en-US"/>
              </w:rPr>
              <w:t>International Financial Reporting</w:t>
            </w:r>
          </w:p>
          <w:p w:rsidR="00F344B6" w:rsidRDefault="00F344B6" w:rsidP="00F344B6">
            <w:pPr>
              <w:rPr>
                <w:lang w:eastAsia="en-US"/>
              </w:rPr>
            </w:pPr>
            <w:r>
              <w:rPr>
                <w:lang w:eastAsia="en-US"/>
              </w:rPr>
              <w:t>Test – Chapters 7 and 8</w:t>
            </w:r>
          </w:p>
          <w:p w:rsidR="00F344B6" w:rsidRDefault="00F344B6" w:rsidP="00F344B6">
            <w:pPr>
              <w:rPr>
                <w:lang w:eastAsia="en-US"/>
              </w:rPr>
            </w:pPr>
            <w:r>
              <w:rPr>
                <w:lang w:eastAsia="en-US"/>
              </w:rPr>
              <w:t>Prepare to discuss Chapter 7 case 5 and Chapter 8 cases 2 and 6</w:t>
            </w:r>
          </w:p>
          <w:p w:rsidR="00F346D5" w:rsidRDefault="00F346D5" w:rsidP="00F344B6">
            <w:pPr>
              <w:rPr>
                <w:lang w:eastAsia="en-US"/>
              </w:rPr>
            </w:pPr>
          </w:p>
          <w:p w:rsidR="00F346D5" w:rsidRPr="00F344B6" w:rsidRDefault="00F346D5" w:rsidP="00F344B6">
            <w:pPr>
              <w:rPr>
                <w:lang w:eastAsia="en-US"/>
              </w:rPr>
            </w:pPr>
            <w:r w:rsidRPr="00F346D5">
              <w:rPr>
                <w:lang w:eastAsia="en-US"/>
              </w:rPr>
              <w:t>Discussion / Review</w:t>
            </w:r>
          </w:p>
        </w:tc>
      </w:tr>
      <w:tr w:rsidR="005F1C5B" w:rsidRPr="00310987" w:rsidTr="00371E37">
        <w:trPr>
          <w:trHeight w:val="288"/>
        </w:trPr>
        <w:tc>
          <w:tcPr>
            <w:tcW w:w="864" w:type="dxa"/>
          </w:tcPr>
          <w:p w:rsidR="005F1C5B" w:rsidRPr="00310987" w:rsidRDefault="00F346D5" w:rsidP="001D6CEA">
            <w:pPr>
              <w:pStyle w:val="Tabletext"/>
              <w:jc w:val="center"/>
            </w:pPr>
            <w:r>
              <w:t>9</w:t>
            </w:r>
          </w:p>
        </w:tc>
        <w:tc>
          <w:tcPr>
            <w:tcW w:w="1440" w:type="dxa"/>
          </w:tcPr>
          <w:p w:rsidR="005F1C5B" w:rsidRPr="00310987" w:rsidRDefault="00F346D5" w:rsidP="00F346D5">
            <w:pPr>
              <w:pStyle w:val="Tabletext"/>
              <w:jc w:val="center"/>
            </w:pPr>
            <w:r>
              <w:t>6</w:t>
            </w:r>
            <w:r w:rsidR="005946CC">
              <w:t>/</w:t>
            </w:r>
            <w:r>
              <w:t>8</w:t>
            </w:r>
          </w:p>
        </w:tc>
        <w:tc>
          <w:tcPr>
            <w:tcW w:w="8154" w:type="dxa"/>
          </w:tcPr>
          <w:p w:rsidR="00F346D5" w:rsidRDefault="00F346D5" w:rsidP="00671DB6">
            <w:pPr>
              <w:pStyle w:val="Tabletext"/>
            </w:pPr>
            <w:r w:rsidRPr="00F346D5">
              <w:t>Discussion / Review</w:t>
            </w:r>
          </w:p>
          <w:p w:rsidR="00F346D5" w:rsidRDefault="00F346D5" w:rsidP="00671DB6">
            <w:pPr>
              <w:pStyle w:val="Tabletext"/>
            </w:pPr>
          </w:p>
          <w:p w:rsidR="005F1C5B" w:rsidRPr="00310987" w:rsidRDefault="005946CC" w:rsidP="00671DB6">
            <w:pPr>
              <w:pStyle w:val="Tabletext"/>
            </w:pPr>
            <w:r>
              <w:t>Final Exam</w:t>
            </w:r>
          </w:p>
        </w:tc>
      </w:tr>
    </w:tbl>
    <w:p w:rsidR="00A4266F" w:rsidRDefault="00A4266F" w:rsidP="00A4266F"/>
    <w:p w:rsidR="00C25FAC" w:rsidRDefault="00C25FAC" w:rsidP="00C25FAC">
      <w:pPr>
        <w:spacing w:before="120"/>
        <w:jc w:val="center"/>
        <w:rPr>
          <w:color w:val="FFFFFF"/>
        </w:rPr>
      </w:pPr>
      <w:r>
        <w:br w:type="page"/>
      </w:r>
      <w:r>
        <w:rPr>
          <w:b/>
          <w:sz w:val="36"/>
        </w:rPr>
        <w:lastRenderedPageBreak/>
        <w:t>Mission and MST Program Learning Goals</w:t>
      </w:r>
    </w:p>
    <w:p w:rsidR="00C25FAC" w:rsidRPr="002422F7" w:rsidRDefault="00C25FAC" w:rsidP="00C25FAC">
      <w:pPr>
        <w:jc w:val="center"/>
        <w:rPr>
          <w:b/>
        </w:rPr>
      </w:pP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tblPr>
      <w:tblGrid>
        <w:gridCol w:w="10207"/>
      </w:tblGrid>
      <w:tr w:rsidR="00C25FAC" w:rsidRPr="005830EC" w:rsidTr="00C25FAC">
        <w:trPr>
          <w:trHeight w:val="235"/>
        </w:trPr>
        <w:tc>
          <w:tcPr>
            <w:tcW w:w="9985" w:type="dxa"/>
            <w:shd w:val="clear" w:color="auto" w:fill="7F7F7F"/>
          </w:tcPr>
          <w:p w:rsidR="00C25FAC" w:rsidRPr="00C25FAC" w:rsidRDefault="00C25FAC" w:rsidP="001673F7">
            <w:pPr>
              <w:pStyle w:val="Title"/>
              <w:rPr>
                <w:rFonts w:ascii="Times New Roman" w:hAnsi="Times New Roman"/>
                <w:sz w:val="32"/>
                <w:szCs w:val="32"/>
                <w:highlight w:val="darkGray"/>
              </w:rPr>
            </w:pPr>
            <w:r w:rsidRPr="00C25FAC">
              <w:rPr>
                <w:rFonts w:ascii="Times New Roman" w:hAnsi="Times New Roman"/>
                <w:highlight w:val="darkGray"/>
              </w:rPr>
              <w:br w:type="page"/>
            </w:r>
            <w:r w:rsidRPr="00A129CD">
              <w:rPr>
                <w:rFonts w:ascii="Times New Roman" w:hAnsi="Times New Roman"/>
                <w:color w:val="FFFFFF"/>
                <w:sz w:val="32"/>
                <w:szCs w:val="32"/>
              </w:rPr>
              <w:t>LCoB Mission Statement</w:t>
            </w:r>
          </w:p>
        </w:tc>
      </w:tr>
      <w:tr w:rsidR="00C25FAC" w:rsidRPr="005830EC" w:rsidTr="001673F7">
        <w:trPr>
          <w:trHeight w:val="1072"/>
        </w:trPr>
        <w:tc>
          <w:tcPr>
            <w:tcW w:w="9985" w:type="dxa"/>
            <w:vAlign w:val="center"/>
          </w:tcPr>
          <w:p w:rsidR="00C25FAC" w:rsidRDefault="00C25FAC" w:rsidP="001673F7">
            <w:pPr>
              <w:spacing w:before="120"/>
              <w:ind w:left="450"/>
              <w:rPr>
                <w:b/>
                <w:i/>
              </w:rPr>
            </w:pPr>
            <w:r w:rsidRPr="00A67FB5">
              <w:t xml:space="preserve">We are the </w:t>
            </w:r>
            <w:r w:rsidRPr="006174EE">
              <w:rPr>
                <w:i/>
              </w:rPr>
              <w:t>institution of opportunity</w:t>
            </w:r>
            <w:r w:rsidRPr="00C121F2">
              <w:t xml:space="preserve"> </w:t>
            </w:r>
            <w:r w:rsidRPr="00A67FB5">
              <w:t xml:space="preserve">in </w:t>
            </w:r>
            <w:r w:rsidRPr="0096602C">
              <w:rPr>
                <w:i/>
              </w:rPr>
              <w:t>Silicon Valley</w:t>
            </w:r>
            <w:r w:rsidRPr="00A67FB5">
              <w:t xml:space="preserve">, </w:t>
            </w:r>
            <w:r>
              <w:t xml:space="preserve">educating future leaders through </w:t>
            </w:r>
            <w:r w:rsidRPr="0096602C">
              <w:rPr>
                <w:i/>
              </w:rPr>
              <w:t>experiential learning</w:t>
            </w:r>
            <w:r>
              <w:t xml:space="preserve"> and character</w:t>
            </w:r>
            <w:r w:rsidRPr="00A67FB5">
              <w:t xml:space="preserve"> development in a </w:t>
            </w:r>
            <w:r w:rsidRPr="0096602C">
              <w:rPr>
                <w:i/>
              </w:rPr>
              <w:t>global business community</w:t>
            </w:r>
            <w:r w:rsidRPr="00A67FB5">
              <w:t xml:space="preserve"> and </w:t>
            </w:r>
            <w:r>
              <w:t xml:space="preserve">by </w:t>
            </w:r>
            <w:r w:rsidRPr="00203DD7">
              <w:t xml:space="preserve">conducting </w:t>
            </w:r>
            <w:r w:rsidRPr="006174EE">
              <w:rPr>
                <w:i/>
              </w:rPr>
              <w:t>research</w:t>
            </w:r>
            <w:r w:rsidRPr="00A67FB5">
              <w:t xml:space="preserve"> that contributes to business theory, practice and education.</w:t>
            </w:r>
          </w:p>
          <w:p w:rsidR="00C25FAC" w:rsidRPr="002422F7" w:rsidRDefault="00C25FAC" w:rsidP="001673F7">
            <w:pPr>
              <w:rPr>
                <w:sz w:val="20"/>
                <w:szCs w:val="20"/>
              </w:rPr>
            </w:pPr>
          </w:p>
        </w:tc>
      </w:tr>
    </w:tbl>
    <w:p w:rsidR="00C25FAC" w:rsidRDefault="00C25FAC" w:rsidP="00C25FAC">
      <w:pPr>
        <w:spacing w:before="120"/>
        <w:jc w:val="center"/>
        <w:rPr>
          <w:b/>
          <w:sz w:val="28"/>
        </w:rPr>
      </w:pPr>
      <w:r w:rsidRPr="002422F7">
        <w:rPr>
          <w:color w:val="FFFFFF"/>
        </w:rPr>
        <w:t>Goals</w:t>
      </w:r>
    </w:p>
    <w:p w:rsidR="00C25FAC" w:rsidRDefault="00C25FAC" w:rsidP="00C25FAC">
      <w:pPr>
        <w:jc w:val="center"/>
      </w:pPr>
    </w:p>
    <w:p w:rsidR="00C25FAC" w:rsidRDefault="00C25FAC" w:rsidP="00C25FAC">
      <w:pPr>
        <w:jc w:val="center"/>
      </w:pP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tblPr>
      <w:tblGrid>
        <w:gridCol w:w="455"/>
        <w:gridCol w:w="2485"/>
        <w:gridCol w:w="7267"/>
      </w:tblGrid>
      <w:tr w:rsidR="00C25FAC" w:rsidRPr="002422F7" w:rsidTr="00C25FAC">
        <w:tc>
          <w:tcPr>
            <w:tcW w:w="9985" w:type="dxa"/>
            <w:gridSpan w:val="3"/>
            <w:shd w:val="clear" w:color="auto" w:fill="7F7F7F"/>
          </w:tcPr>
          <w:p w:rsidR="00C25FAC" w:rsidRPr="00183406" w:rsidRDefault="00C25FAC" w:rsidP="001673F7">
            <w:pPr>
              <w:pStyle w:val="Title"/>
              <w:rPr>
                <w:rFonts w:ascii="Times New Roman" w:hAnsi="Times New Roman"/>
                <w:sz w:val="32"/>
                <w:szCs w:val="32"/>
              </w:rPr>
            </w:pPr>
            <w:r w:rsidRPr="00C25FAC">
              <w:rPr>
                <w:rFonts w:ascii="Times New Roman" w:hAnsi="Times New Roman"/>
                <w:color w:val="FFFFFF"/>
                <w:sz w:val="32"/>
                <w:szCs w:val="32"/>
              </w:rPr>
              <w:t>MST Program Learning Goals</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1</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Complex and Multi-jurisdictional Tax Issues</w:t>
            </w:r>
          </w:p>
        </w:tc>
        <w:tc>
          <w:tcPr>
            <w:tcW w:w="7109" w:type="dxa"/>
            <w:tcMar>
              <w:top w:w="0" w:type="dxa"/>
              <w:bottom w:w="0" w:type="dxa"/>
            </w:tcMar>
            <w:vAlign w:val="center"/>
          </w:tcPr>
          <w:p w:rsidR="00C25FAC" w:rsidRPr="00183406" w:rsidRDefault="00C25FAC" w:rsidP="001673F7">
            <w:r w:rsidRPr="00183406">
              <w:t xml:space="preserve">To identify, understand and resolve complex and multijurisdictional tax issues within the context of our global economy and society. </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2</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Research Skills</w:t>
            </w:r>
          </w:p>
        </w:tc>
        <w:tc>
          <w:tcPr>
            <w:tcW w:w="7109" w:type="dxa"/>
            <w:tcMar>
              <w:top w:w="0" w:type="dxa"/>
              <w:bottom w:w="0" w:type="dxa"/>
            </w:tcMar>
            <w:vAlign w:val="center"/>
          </w:tcPr>
          <w:p w:rsidR="00C25FAC" w:rsidRPr="00183406" w:rsidRDefault="00C25FAC" w:rsidP="001673F7">
            <w:r w:rsidRPr="00183406">
              <w:t>To learn research skills for exploring both familiar and novel areas of the tax law and to communicate the findings in clear terms.</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3</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Analytical Skills</w:t>
            </w:r>
          </w:p>
        </w:tc>
        <w:tc>
          <w:tcPr>
            <w:tcW w:w="7109" w:type="dxa"/>
            <w:tcMar>
              <w:top w:w="0" w:type="dxa"/>
              <w:bottom w:w="0" w:type="dxa"/>
            </w:tcMar>
            <w:vAlign w:val="center"/>
          </w:tcPr>
          <w:p w:rsidR="00C25FAC" w:rsidRPr="00183406" w:rsidRDefault="00C25FAC" w:rsidP="001673F7">
            <w:r w:rsidRPr="00183406">
              <w:t>To develop conceptual and analytic skills with real world applications.</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4</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Tax Policy</w:t>
            </w:r>
          </w:p>
        </w:tc>
        <w:tc>
          <w:tcPr>
            <w:tcW w:w="7109" w:type="dxa"/>
            <w:tcMar>
              <w:top w:w="0" w:type="dxa"/>
              <w:bottom w:w="0" w:type="dxa"/>
            </w:tcMar>
            <w:vAlign w:val="center"/>
          </w:tcPr>
          <w:p w:rsidR="00C25FAC" w:rsidRPr="00183406" w:rsidRDefault="00C25FAC" w:rsidP="001673F7">
            <w:r w:rsidRPr="00183406">
              <w:t>To appreciate tax policy issues and foundations of the tax law.</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5</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Ethical Implications of Tax Practice</w:t>
            </w:r>
          </w:p>
        </w:tc>
        <w:tc>
          <w:tcPr>
            <w:tcW w:w="7109" w:type="dxa"/>
            <w:tcMar>
              <w:top w:w="0" w:type="dxa"/>
              <w:bottom w:w="0" w:type="dxa"/>
            </w:tcMar>
            <w:vAlign w:val="center"/>
          </w:tcPr>
          <w:p w:rsidR="00C25FAC" w:rsidRPr="00183406" w:rsidRDefault="00C25FAC" w:rsidP="001673F7">
            <w:r w:rsidRPr="00183406">
              <w:t>To understand the ethical implications of tax practice.</w:t>
            </w:r>
          </w:p>
        </w:tc>
      </w:tr>
      <w:tr w:rsidR="00C25FAC" w:rsidRPr="002422F7" w:rsidTr="001673F7">
        <w:tc>
          <w:tcPr>
            <w:tcW w:w="445" w:type="dxa"/>
            <w:vAlign w:val="center"/>
          </w:tcPr>
          <w:p w:rsidR="00C25FAC" w:rsidRPr="00183406" w:rsidRDefault="00C25FAC" w:rsidP="001673F7">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6</w:t>
            </w:r>
          </w:p>
        </w:tc>
        <w:tc>
          <w:tcPr>
            <w:tcW w:w="2431" w:type="dxa"/>
            <w:vAlign w:val="center"/>
          </w:tcPr>
          <w:p w:rsidR="00C25FAC" w:rsidRPr="00183406" w:rsidRDefault="00C25FAC" w:rsidP="001673F7">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Tax Practice and Career Advancement</w:t>
            </w:r>
          </w:p>
        </w:tc>
        <w:tc>
          <w:tcPr>
            <w:tcW w:w="7109" w:type="dxa"/>
            <w:tcMar>
              <w:top w:w="0" w:type="dxa"/>
              <w:bottom w:w="0" w:type="dxa"/>
            </w:tcMar>
            <w:vAlign w:val="center"/>
          </w:tcPr>
          <w:p w:rsidR="00C25FAC" w:rsidRPr="00183406" w:rsidRDefault="00C25FAC" w:rsidP="001673F7">
            <w:r w:rsidRPr="00183406">
              <w:t>To develop skills for effective tax practice including keeping current, interacting with others, and career advancement.</w:t>
            </w:r>
          </w:p>
        </w:tc>
      </w:tr>
    </w:tbl>
    <w:p w:rsidR="00C25FAC" w:rsidRPr="00DF0013" w:rsidRDefault="00C25FAC" w:rsidP="00C25FAC">
      <w:pPr>
        <w:jc w:val="center"/>
        <w:rPr>
          <w:sz w:val="20"/>
          <w:szCs w:val="20"/>
        </w:rPr>
      </w:pPr>
    </w:p>
    <w:p w:rsidR="00C25FAC" w:rsidRPr="00DF0013" w:rsidRDefault="00C25FAC" w:rsidP="00C25FAC">
      <w:pPr>
        <w:jc w:val="center"/>
        <w:rPr>
          <w:sz w:val="20"/>
          <w:szCs w:val="20"/>
        </w:rPr>
      </w:pPr>
    </w:p>
    <w:p w:rsidR="00C25FAC" w:rsidRDefault="00C25FAC" w:rsidP="00C25FAC">
      <w:pPr>
        <w:jc w:val="center"/>
      </w:pPr>
    </w:p>
    <w:p w:rsidR="005B40C1" w:rsidRPr="00A4266F" w:rsidRDefault="005B40C1" w:rsidP="00C25FAC"/>
    <w:sectPr w:rsidR="005B40C1" w:rsidRPr="00A4266F" w:rsidSect="00371E37">
      <w:footerReference w:type="default" r:id="rId2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3F7" w:rsidRDefault="001673F7">
      <w:r>
        <w:separator/>
      </w:r>
    </w:p>
  </w:endnote>
  <w:endnote w:type="continuationSeparator" w:id="0">
    <w:p w:rsidR="001673F7" w:rsidRDefault="00167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bsaraSansOT-Light">
    <w:panose1 w:val="00000000000000000000"/>
    <w:charset w:val="00"/>
    <w:family w:val="modern"/>
    <w:notTrueType/>
    <w:pitch w:val="variable"/>
    <w:sig w:usb0="800000AF" w:usb1="4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4E" w:rsidRDefault="00EA501B" w:rsidP="00E22102">
    <w:pPr>
      <w:pStyle w:val="Footer"/>
      <w:tabs>
        <w:tab w:val="clear" w:pos="8640"/>
        <w:tab w:val="right" w:pos="8190"/>
      </w:tabs>
      <w:ind w:right="360"/>
    </w:pPr>
    <w:r>
      <w:t xml:space="preserve">BUS 225Y, Accounting Ethics, </w:t>
    </w:r>
    <w:r w:rsidR="003161EF">
      <w:t>Spring</w:t>
    </w:r>
    <w:r>
      <w:t xml:space="preserve">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3F7" w:rsidRDefault="001673F7">
      <w:r>
        <w:separator/>
      </w:r>
    </w:p>
  </w:footnote>
  <w:footnote w:type="continuationSeparator" w:id="0">
    <w:p w:rsidR="001673F7" w:rsidRDefault="00167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074AB"/>
    <w:multiLevelType w:val="hybridMultilevel"/>
    <w:tmpl w:val="3A1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10"/>
  </w:num>
  <w:num w:numId="4">
    <w:abstractNumId w:val="16"/>
  </w:num>
  <w:num w:numId="5">
    <w:abstractNumId w:val="0"/>
  </w:num>
  <w:num w:numId="6">
    <w:abstractNumId w:val="9"/>
  </w:num>
  <w:num w:numId="7">
    <w:abstractNumId w:val="6"/>
  </w:num>
  <w:num w:numId="8">
    <w:abstractNumId w:val="18"/>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1"/>
  </w:num>
  <w:num w:numId="14">
    <w:abstractNumId w:val="8"/>
  </w:num>
  <w:num w:numId="15">
    <w:abstractNumId w:val="23"/>
  </w:num>
  <w:num w:numId="16">
    <w:abstractNumId w:val="3"/>
  </w:num>
  <w:num w:numId="17">
    <w:abstractNumId w:val="14"/>
  </w:num>
  <w:num w:numId="18">
    <w:abstractNumId w:val="5"/>
  </w:num>
  <w:num w:numId="19">
    <w:abstractNumId w:val="4"/>
  </w:num>
  <w:num w:numId="20">
    <w:abstractNumId w:val="15"/>
  </w:num>
  <w:num w:numId="21">
    <w:abstractNumId w:val="20"/>
  </w:num>
  <w:num w:numId="22">
    <w:abstractNumId w:val="17"/>
  </w:num>
  <w:num w:numId="23">
    <w:abstractNumId w:val="7"/>
  </w:num>
  <w:num w:numId="24">
    <w:abstractNumId w:val="2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savePreviewPicture/>
  <w:hdrShapeDefaults>
    <o:shapedefaults v:ext="edit" spidmax="3074">
      <o:colormru v:ext="edit" colors="fuchsia"/>
    </o:shapedefaults>
  </w:hdrShapeDefaults>
  <w:footnotePr>
    <w:footnote w:id="-1"/>
    <w:footnote w:id="0"/>
  </w:footnotePr>
  <w:endnotePr>
    <w:endnote w:id="-1"/>
    <w:endnote w:id="0"/>
  </w:endnotePr>
  <w:compat>
    <w:useFELayout/>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80"/>
    <w:rsid w:val="000A13FF"/>
    <w:rsid w:val="000A15EB"/>
    <w:rsid w:val="000A1B43"/>
    <w:rsid w:val="000A2AD7"/>
    <w:rsid w:val="000A423A"/>
    <w:rsid w:val="000B3204"/>
    <w:rsid w:val="000B5307"/>
    <w:rsid w:val="000B59ED"/>
    <w:rsid w:val="000C0FC5"/>
    <w:rsid w:val="000C1ADA"/>
    <w:rsid w:val="000C43D7"/>
    <w:rsid w:val="000E0892"/>
    <w:rsid w:val="000E214D"/>
    <w:rsid w:val="000F32E4"/>
    <w:rsid w:val="000F3F7D"/>
    <w:rsid w:val="000F54FF"/>
    <w:rsid w:val="00101272"/>
    <w:rsid w:val="001102F8"/>
    <w:rsid w:val="00113C04"/>
    <w:rsid w:val="0012511A"/>
    <w:rsid w:val="0013574C"/>
    <w:rsid w:val="00145CC6"/>
    <w:rsid w:val="00146B10"/>
    <w:rsid w:val="00150B19"/>
    <w:rsid w:val="001554C3"/>
    <w:rsid w:val="00155D80"/>
    <w:rsid w:val="00157C5A"/>
    <w:rsid w:val="00164570"/>
    <w:rsid w:val="001673F7"/>
    <w:rsid w:val="001707AB"/>
    <w:rsid w:val="0017098E"/>
    <w:rsid w:val="00172A18"/>
    <w:rsid w:val="00174548"/>
    <w:rsid w:val="00174590"/>
    <w:rsid w:val="00174AEA"/>
    <w:rsid w:val="00181B3F"/>
    <w:rsid w:val="001A5851"/>
    <w:rsid w:val="001A6119"/>
    <w:rsid w:val="001B3D42"/>
    <w:rsid w:val="001B4784"/>
    <w:rsid w:val="001B5884"/>
    <w:rsid w:val="001C69F7"/>
    <w:rsid w:val="001D3A6B"/>
    <w:rsid w:val="001D6CEA"/>
    <w:rsid w:val="001E2FA7"/>
    <w:rsid w:val="001E5643"/>
    <w:rsid w:val="001F722E"/>
    <w:rsid w:val="0020209C"/>
    <w:rsid w:val="002041FF"/>
    <w:rsid w:val="0020681E"/>
    <w:rsid w:val="00211CAF"/>
    <w:rsid w:val="00211E73"/>
    <w:rsid w:val="002178EA"/>
    <w:rsid w:val="00224D20"/>
    <w:rsid w:val="00225F69"/>
    <w:rsid w:val="00230347"/>
    <w:rsid w:val="002310F1"/>
    <w:rsid w:val="002320F2"/>
    <w:rsid w:val="00234EA2"/>
    <w:rsid w:val="00235BCA"/>
    <w:rsid w:val="002366F6"/>
    <w:rsid w:val="002407B7"/>
    <w:rsid w:val="00240E6F"/>
    <w:rsid w:val="002479E4"/>
    <w:rsid w:val="0025081A"/>
    <w:rsid w:val="00250CC1"/>
    <w:rsid w:val="002515E1"/>
    <w:rsid w:val="00251C18"/>
    <w:rsid w:val="0025279D"/>
    <w:rsid w:val="00276840"/>
    <w:rsid w:val="00281A9B"/>
    <w:rsid w:val="00282A22"/>
    <w:rsid w:val="00285E03"/>
    <w:rsid w:val="00287E5F"/>
    <w:rsid w:val="002A568C"/>
    <w:rsid w:val="002A5E61"/>
    <w:rsid w:val="002B6966"/>
    <w:rsid w:val="002C4764"/>
    <w:rsid w:val="002D09BF"/>
    <w:rsid w:val="002D1995"/>
    <w:rsid w:val="002E0DEE"/>
    <w:rsid w:val="002E5623"/>
    <w:rsid w:val="002E617F"/>
    <w:rsid w:val="002F1EC6"/>
    <w:rsid w:val="002F4247"/>
    <w:rsid w:val="002F596B"/>
    <w:rsid w:val="002F5C2F"/>
    <w:rsid w:val="003020AA"/>
    <w:rsid w:val="00303509"/>
    <w:rsid w:val="00310261"/>
    <w:rsid w:val="00310968"/>
    <w:rsid w:val="00310987"/>
    <w:rsid w:val="00311B40"/>
    <w:rsid w:val="0031473B"/>
    <w:rsid w:val="003161EF"/>
    <w:rsid w:val="00317530"/>
    <w:rsid w:val="00322CB4"/>
    <w:rsid w:val="00322D70"/>
    <w:rsid w:val="00324601"/>
    <w:rsid w:val="0032567E"/>
    <w:rsid w:val="00326BC8"/>
    <w:rsid w:val="0032789D"/>
    <w:rsid w:val="00332763"/>
    <w:rsid w:val="00333EE5"/>
    <w:rsid w:val="003350FA"/>
    <w:rsid w:val="00340807"/>
    <w:rsid w:val="003447CB"/>
    <w:rsid w:val="00356ED8"/>
    <w:rsid w:val="00360120"/>
    <w:rsid w:val="003607BB"/>
    <w:rsid w:val="00360ECA"/>
    <w:rsid w:val="003628FC"/>
    <w:rsid w:val="003678C8"/>
    <w:rsid w:val="00371E37"/>
    <w:rsid w:val="00374F61"/>
    <w:rsid w:val="00387A39"/>
    <w:rsid w:val="003A006A"/>
    <w:rsid w:val="003A43F0"/>
    <w:rsid w:val="003A7C94"/>
    <w:rsid w:val="003B005E"/>
    <w:rsid w:val="003B4F56"/>
    <w:rsid w:val="003B6845"/>
    <w:rsid w:val="003B6ECC"/>
    <w:rsid w:val="003C1CF1"/>
    <w:rsid w:val="003D0F28"/>
    <w:rsid w:val="003D241F"/>
    <w:rsid w:val="003D2E57"/>
    <w:rsid w:val="003E0353"/>
    <w:rsid w:val="003E4226"/>
    <w:rsid w:val="003F5641"/>
    <w:rsid w:val="004020DB"/>
    <w:rsid w:val="004048DA"/>
    <w:rsid w:val="0040586A"/>
    <w:rsid w:val="0040642A"/>
    <w:rsid w:val="004065DA"/>
    <w:rsid w:val="00411924"/>
    <w:rsid w:val="004149E0"/>
    <w:rsid w:val="00416F53"/>
    <w:rsid w:val="00417A7E"/>
    <w:rsid w:val="00430664"/>
    <w:rsid w:val="00432818"/>
    <w:rsid w:val="00444C92"/>
    <w:rsid w:val="00453564"/>
    <w:rsid w:val="00454284"/>
    <w:rsid w:val="004620DD"/>
    <w:rsid w:val="00462305"/>
    <w:rsid w:val="0046273B"/>
    <w:rsid w:val="00467AA9"/>
    <w:rsid w:val="004735C2"/>
    <w:rsid w:val="00485049"/>
    <w:rsid w:val="00486C8C"/>
    <w:rsid w:val="00490D00"/>
    <w:rsid w:val="00491293"/>
    <w:rsid w:val="0049212C"/>
    <w:rsid w:val="00494EF0"/>
    <w:rsid w:val="00497460"/>
    <w:rsid w:val="004A0058"/>
    <w:rsid w:val="004A0E10"/>
    <w:rsid w:val="004A6CBC"/>
    <w:rsid w:val="004C10E5"/>
    <w:rsid w:val="004F2812"/>
    <w:rsid w:val="004F2AA1"/>
    <w:rsid w:val="00512895"/>
    <w:rsid w:val="00513A44"/>
    <w:rsid w:val="005155BA"/>
    <w:rsid w:val="005177FF"/>
    <w:rsid w:val="00520065"/>
    <w:rsid w:val="00521AF9"/>
    <w:rsid w:val="0052276D"/>
    <w:rsid w:val="005272D4"/>
    <w:rsid w:val="0053530E"/>
    <w:rsid w:val="00536F26"/>
    <w:rsid w:val="005443BE"/>
    <w:rsid w:val="00546DB0"/>
    <w:rsid w:val="0055155A"/>
    <w:rsid w:val="005539AA"/>
    <w:rsid w:val="0055547E"/>
    <w:rsid w:val="005567CC"/>
    <w:rsid w:val="00556A05"/>
    <w:rsid w:val="00560F5E"/>
    <w:rsid w:val="00562633"/>
    <w:rsid w:val="00565094"/>
    <w:rsid w:val="0056584A"/>
    <w:rsid w:val="00566652"/>
    <w:rsid w:val="005710F8"/>
    <w:rsid w:val="00577E27"/>
    <w:rsid w:val="00585F6C"/>
    <w:rsid w:val="00586101"/>
    <w:rsid w:val="0058767B"/>
    <w:rsid w:val="00591596"/>
    <w:rsid w:val="005946CC"/>
    <w:rsid w:val="005B3B87"/>
    <w:rsid w:val="005B40C1"/>
    <w:rsid w:val="005B43D0"/>
    <w:rsid w:val="005B659E"/>
    <w:rsid w:val="005C181A"/>
    <w:rsid w:val="005C4B3C"/>
    <w:rsid w:val="005C644C"/>
    <w:rsid w:val="005D10E6"/>
    <w:rsid w:val="005D7852"/>
    <w:rsid w:val="005E2301"/>
    <w:rsid w:val="005F1C5B"/>
    <w:rsid w:val="005F6720"/>
    <w:rsid w:val="005F6E86"/>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575F"/>
    <w:rsid w:val="006C5883"/>
    <w:rsid w:val="006C7A06"/>
    <w:rsid w:val="006D044B"/>
    <w:rsid w:val="006D42F9"/>
    <w:rsid w:val="006E154D"/>
    <w:rsid w:val="006E2A4B"/>
    <w:rsid w:val="006E7961"/>
    <w:rsid w:val="006F41E9"/>
    <w:rsid w:val="00702B11"/>
    <w:rsid w:val="00704E26"/>
    <w:rsid w:val="007107D4"/>
    <w:rsid w:val="00711D92"/>
    <w:rsid w:val="0071647B"/>
    <w:rsid w:val="00725257"/>
    <w:rsid w:val="00730C76"/>
    <w:rsid w:val="0073585B"/>
    <w:rsid w:val="00745752"/>
    <w:rsid w:val="00751773"/>
    <w:rsid w:val="00754546"/>
    <w:rsid w:val="00764B6E"/>
    <w:rsid w:val="00787E51"/>
    <w:rsid w:val="00795702"/>
    <w:rsid w:val="00795F09"/>
    <w:rsid w:val="0079670E"/>
    <w:rsid w:val="00796A50"/>
    <w:rsid w:val="007A1CAC"/>
    <w:rsid w:val="007A3B7B"/>
    <w:rsid w:val="007A58ED"/>
    <w:rsid w:val="007B01D3"/>
    <w:rsid w:val="007B4797"/>
    <w:rsid w:val="007C1F04"/>
    <w:rsid w:val="007C5048"/>
    <w:rsid w:val="007D26CE"/>
    <w:rsid w:val="007D5B49"/>
    <w:rsid w:val="007D6841"/>
    <w:rsid w:val="007E1AD0"/>
    <w:rsid w:val="007E53C0"/>
    <w:rsid w:val="007E5718"/>
    <w:rsid w:val="007E5AFF"/>
    <w:rsid w:val="007F64AE"/>
    <w:rsid w:val="007F674E"/>
    <w:rsid w:val="008007DE"/>
    <w:rsid w:val="0081027F"/>
    <w:rsid w:val="008151F1"/>
    <w:rsid w:val="008270AB"/>
    <w:rsid w:val="0083150B"/>
    <w:rsid w:val="008339A0"/>
    <w:rsid w:val="00854425"/>
    <w:rsid w:val="00861E4B"/>
    <w:rsid w:val="0086332B"/>
    <w:rsid w:val="0087263C"/>
    <w:rsid w:val="00872B5F"/>
    <w:rsid w:val="008979F0"/>
    <w:rsid w:val="008A07D1"/>
    <w:rsid w:val="008A3508"/>
    <w:rsid w:val="008A398F"/>
    <w:rsid w:val="008A4F28"/>
    <w:rsid w:val="008B4BF4"/>
    <w:rsid w:val="008B7438"/>
    <w:rsid w:val="008B7F49"/>
    <w:rsid w:val="008C4985"/>
    <w:rsid w:val="008C714E"/>
    <w:rsid w:val="008D2B04"/>
    <w:rsid w:val="008D6B3D"/>
    <w:rsid w:val="008F638B"/>
    <w:rsid w:val="00900850"/>
    <w:rsid w:val="00901685"/>
    <w:rsid w:val="0090187F"/>
    <w:rsid w:val="00902889"/>
    <w:rsid w:val="00903C79"/>
    <w:rsid w:val="00907C71"/>
    <w:rsid w:val="00911EB3"/>
    <w:rsid w:val="00913E29"/>
    <w:rsid w:val="009201C4"/>
    <w:rsid w:val="00923EFE"/>
    <w:rsid w:val="009279BA"/>
    <w:rsid w:val="00927C16"/>
    <w:rsid w:val="00933CB4"/>
    <w:rsid w:val="009361B4"/>
    <w:rsid w:val="009373E9"/>
    <w:rsid w:val="009438C2"/>
    <w:rsid w:val="009446C0"/>
    <w:rsid w:val="00945EB0"/>
    <w:rsid w:val="00947A0C"/>
    <w:rsid w:val="009531E5"/>
    <w:rsid w:val="00964E9C"/>
    <w:rsid w:val="0096767F"/>
    <w:rsid w:val="00967772"/>
    <w:rsid w:val="00974411"/>
    <w:rsid w:val="009779D4"/>
    <w:rsid w:val="00982BF4"/>
    <w:rsid w:val="009865FB"/>
    <w:rsid w:val="009B1C3D"/>
    <w:rsid w:val="009B1E06"/>
    <w:rsid w:val="009B7FED"/>
    <w:rsid w:val="009C1A50"/>
    <w:rsid w:val="009C5301"/>
    <w:rsid w:val="009D0187"/>
    <w:rsid w:val="009D60E0"/>
    <w:rsid w:val="009D7157"/>
    <w:rsid w:val="009D753F"/>
    <w:rsid w:val="009E0A3C"/>
    <w:rsid w:val="009E1670"/>
    <w:rsid w:val="009E3ED7"/>
    <w:rsid w:val="009E57FF"/>
    <w:rsid w:val="009E5887"/>
    <w:rsid w:val="009E65FC"/>
    <w:rsid w:val="009F75F7"/>
    <w:rsid w:val="00A10019"/>
    <w:rsid w:val="00A11B64"/>
    <w:rsid w:val="00A161E0"/>
    <w:rsid w:val="00A17160"/>
    <w:rsid w:val="00A245C9"/>
    <w:rsid w:val="00A36A86"/>
    <w:rsid w:val="00A4266F"/>
    <w:rsid w:val="00A4697D"/>
    <w:rsid w:val="00A65D9E"/>
    <w:rsid w:val="00A66D8B"/>
    <w:rsid w:val="00A6784A"/>
    <w:rsid w:val="00A67897"/>
    <w:rsid w:val="00A70954"/>
    <w:rsid w:val="00A70FA4"/>
    <w:rsid w:val="00A727E0"/>
    <w:rsid w:val="00A729CF"/>
    <w:rsid w:val="00A75F86"/>
    <w:rsid w:val="00A77C1F"/>
    <w:rsid w:val="00A811E0"/>
    <w:rsid w:val="00A9022D"/>
    <w:rsid w:val="00A93AA9"/>
    <w:rsid w:val="00AA24D3"/>
    <w:rsid w:val="00AA2A42"/>
    <w:rsid w:val="00AA4D07"/>
    <w:rsid w:val="00AA6434"/>
    <w:rsid w:val="00AA66AD"/>
    <w:rsid w:val="00AB1FCE"/>
    <w:rsid w:val="00AB30FE"/>
    <w:rsid w:val="00AB318E"/>
    <w:rsid w:val="00AB401D"/>
    <w:rsid w:val="00AB7973"/>
    <w:rsid w:val="00AC1838"/>
    <w:rsid w:val="00AC57CE"/>
    <w:rsid w:val="00AD3780"/>
    <w:rsid w:val="00AE49C4"/>
    <w:rsid w:val="00AF226B"/>
    <w:rsid w:val="00AF33FB"/>
    <w:rsid w:val="00B0073A"/>
    <w:rsid w:val="00B009E5"/>
    <w:rsid w:val="00B06C31"/>
    <w:rsid w:val="00B13851"/>
    <w:rsid w:val="00B20614"/>
    <w:rsid w:val="00B20E77"/>
    <w:rsid w:val="00B22059"/>
    <w:rsid w:val="00B24826"/>
    <w:rsid w:val="00B2792D"/>
    <w:rsid w:val="00B31F31"/>
    <w:rsid w:val="00B37AD8"/>
    <w:rsid w:val="00B401DE"/>
    <w:rsid w:val="00B43467"/>
    <w:rsid w:val="00B43EDA"/>
    <w:rsid w:val="00B447BB"/>
    <w:rsid w:val="00B466AF"/>
    <w:rsid w:val="00B50126"/>
    <w:rsid w:val="00B50B4C"/>
    <w:rsid w:val="00B51EC2"/>
    <w:rsid w:val="00B5779E"/>
    <w:rsid w:val="00B60EA9"/>
    <w:rsid w:val="00B62150"/>
    <w:rsid w:val="00B622A8"/>
    <w:rsid w:val="00B653F1"/>
    <w:rsid w:val="00B6769B"/>
    <w:rsid w:val="00B72EDC"/>
    <w:rsid w:val="00B804B2"/>
    <w:rsid w:val="00B830A0"/>
    <w:rsid w:val="00BA7740"/>
    <w:rsid w:val="00BB0E5A"/>
    <w:rsid w:val="00BB1C7F"/>
    <w:rsid w:val="00BB395D"/>
    <w:rsid w:val="00BB69CE"/>
    <w:rsid w:val="00BB6F23"/>
    <w:rsid w:val="00BB7EA3"/>
    <w:rsid w:val="00BC02DF"/>
    <w:rsid w:val="00BC15C2"/>
    <w:rsid w:val="00BC351B"/>
    <w:rsid w:val="00BC4F54"/>
    <w:rsid w:val="00BC5C8A"/>
    <w:rsid w:val="00BC6158"/>
    <w:rsid w:val="00BD13B1"/>
    <w:rsid w:val="00BD28F5"/>
    <w:rsid w:val="00BD5033"/>
    <w:rsid w:val="00BE46B5"/>
    <w:rsid w:val="00BF0DBD"/>
    <w:rsid w:val="00BF1470"/>
    <w:rsid w:val="00BF163B"/>
    <w:rsid w:val="00BF6E68"/>
    <w:rsid w:val="00C0196B"/>
    <w:rsid w:val="00C026D2"/>
    <w:rsid w:val="00C047D4"/>
    <w:rsid w:val="00C05495"/>
    <w:rsid w:val="00C07FE4"/>
    <w:rsid w:val="00C143D3"/>
    <w:rsid w:val="00C164AE"/>
    <w:rsid w:val="00C24DBF"/>
    <w:rsid w:val="00C25FAC"/>
    <w:rsid w:val="00C408EA"/>
    <w:rsid w:val="00C46FE3"/>
    <w:rsid w:val="00C51110"/>
    <w:rsid w:val="00C5353C"/>
    <w:rsid w:val="00C63B8A"/>
    <w:rsid w:val="00C65528"/>
    <w:rsid w:val="00C67BBA"/>
    <w:rsid w:val="00C74F6F"/>
    <w:rsid w:val="00C762CC"/>
    <w:rsid w:val="00C80FC8"/>
    <w:rsid w:val="00C83C9A"/>
    <w:rsid w:val="00C848D6"/>
    <w:rsid w:val="00C8608F"/>
    <w:rsid w:val="00C92B01"/>
    <w:rsid w:val="00C96CAA"/>
    <w:rsid w:val="00CB4A56"/>
    <w:rsid w:val="00CB5794"/>
    <w:rsid w:val="00CB7515"/>
    <w:rsid w:val="00CD624F"/>
    <w:rsid w:val="00CE4F25"/>
    <w:rsid w:val="00CE5876"/>
    <w:rsid w:val="00CF072C"/>
    <w:rsid w:val="00CF45E6"/>
    <w:rsid w:val="00CF628D"/>
    <w:rsid w:val="00D00449"/>
    <w:rsid w:val="00D05108"/>
    <w:rsid w:val="00D05F84"/>
    <w:rsid w:val="00D061E0"/>
    <w:rsid w:val="00D078F5"/>
    <w:rsid w:val="00D12A6C"/>
    <w:rsid w:val="00D13D51"/>
    <w:rsid w:val="00D227F7"/>
    <w:rsid w:val="00D24831"/>
    <w:rsid w:val="00D267C1"/>
    <w:rsid w:val="00D26C75"/>
    <w:rsid w:val="00D30DFF"/>
    <w:rsid w:val="00D34A52"/>
    <w:rsid w:val="00D4325C"/>
    <w:rsid w:val="00D43688"/>
    <w:rsid w:val="00D444D1"/>
    <w:rsid w:val="00D44997"/>
    <w:rsid w:val="00D45115"/>
    <w:rsid w:val="00D458AE"/>
    <w:rsid w:val="00D460BC"/>
    <w:rsid w:val="00D52723"/>
    <w:rsid w:val="00D5278A"/>
    <w:rsid w:val="00D52A07"/>
    <w:rsid w:val="00D54BB0"/>
    <w:rsid w:val="00D566C6"/>
    <w:rsid w:val="00D56F98"/>
    <w:rsid w:val="00D57C25"/>
    <w:rsid w:val="00D61A9F"/>
    <w:rsid w:val="00D6444F"/>
    <w:rsid w:val="00D66539"/>
    <w:rsid w:val="00D72AF8"/>
    <w:rsid w:val="00D825EF"/>
    <w:rsid w:val="00D87D76"/>
    <w:rsid w:val="00D906F6"/>
    <w:rsid w:val="00D90B91"/>
    <w:rsid w:val="00D9315E"/>
    <w:rsid w:val="00D93301"/>
    <w:rsid w:val="00D937FB"/>
    <w:rsid w:val="00D94A6F"/>
    <w:rsid w:val="00DA1DBF"/>
    <w:rsid w:val="00DA1DDD"/>
    <w:rsid w:val="00DA2C99"/>
    <w:rsid w:val="00DA30B8"/>
    <w:rsid w:val="00DA7836"/>
    <w:rsid w:val="00DB455B"/>
    <w:rsid w:val="00DB7605"/>
    <w:rsid w:val="00DB7D7D"/>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3103F"/>
    <w:rsid w:val="00E3255F"/>
    <w:rsid w:val="00E40B35"/>
    <w:rsid w:val="00E51449"/>
    <w:rsid w:val="00E65B83"/>
    <w:rsid w:val="00E6632F"/>
    <w:rsid w:val="00E665FF"/>
    <w:rsid w:val="00E76EF4"/>
    <w:rsid w:val="00E7754E"/>
    <w:rsid w:val="00E84EDA"/>
    <w:rsid w:val="00E85A8F"/>
    <w:rsid w:val="00E9560F"/>
    <w:rsid w:val="00EA501B"/>
    <w:rsid w:val="00EB0AFA"/>
    <w:rsid w:val="00EB16A3"/>
    <w:rsid w:val="00EB3707"/>
    <w:rsid w:val="00EB631D"/>
    <w:rsid w:val="00EB6DD6"/>
    <w:rsid w:val="00EC05C0"/>
    <w:rsid w:val="00EC0F01"/>
    <w:rsid w:val="00EC19E6"/>
    <w:rsid w:val="00EC2C4A"/>
    <w:rsid w:val="00EC57AB"/>
    <w:rsid w:val="00ED3BAB"/>
    <w:rsid w:val="00ED6AF9"/>
    <w:rsid w:val="00EE4A94"/>
    <w:rsid w:val="00EE4C2A"/>
    <w:rsid w:val="00EE5419"/>
    <w:rsid w:val="00EE65C5"/>
    <w:rsid w:val="00EF1217"/>
    <w:rsid w:val="00EF18AC"/>
    <w:rsid w:val="00F0203E"/>
    <w:rsid w:val="00F043BA"/>
    <w:rsid w:val="00F0717D"/>
    <w:rsid w:val="00F125B3"/>
    <w:rsid w:val="00F12A33"/>
    <w:rsid w:val="00F1347E"/>
    <w:rsid w:val="00F15781"/>
    <w:rsid w:val="00F16D57"/>
    <w:rsid w:val="00F17077"/>
    <w:rsid w:val="00F2165E"/>
    <w:rsid w:val="00F22320"/>
    <w:rsid w:val="00F24100"/>
    <w:rsid w:val="00F25B50"/>
    <w:rsid w:val="00F25CBC"/>
    <w:rsid w:val="00F30DB8"/>
    <w:rsid w:val="00F3151A"/>
    <w:rsid w:val="00F322B5"/>
    <w:rsid w:val="00F32B24"/>
    <w:rsid w:val="00F33B3B"/>
    <w:rsid w:val="00F344B6"/>
    <w:rsid w:val="00F346D5"/>
    <w:rsid w:val="00F457A9"/>
    <w:rsid w:val="00F5031D"/>
    <w:rsid w:val="00F56BAC"/>
    <w:rsid w:val="00F61B7F"/>
    <w:rsid w:val="00F61C24"/>
    <w:rsid w:val="00F700F2"/>
    <w:rsid w:val="00F7511A"/>
    <w:rsid w:val="00F85C7C"/>
    <w:rsid w:val="00F923D7"/>
    <w:rsid w:val="00F93D26"/>
    <w:rsid w:val="00F9442C"/>
    <w:rsid w:val="00F94F6A"/>
    <w:rsid w:val="00F960EE"/>
    <w:rsid w:val="00FA2520"/>
    <w:rsid w:val="00FB0206"/>
    <w:rsid w:val="00FB52E8"/>
    <w:rsid w:val="00FC5F5C"/>
    <w:rsid w:val="00FC6BE8"/>
    <w:rsid w:val="00FD1B7F"/>
    <w:rsid w:val="00FD2851"/>
    <w:rsid w:val="00FE1801"/>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MediumGrid1-Accent2">
    <w:name w:val="Medium Grid 1 Accent 2"/>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BodyTextIndent3">
    <w:name w:val="Body Text Indent 3"/>
    <w:basedOn w:val="Normal"/>
    <w:link w:val="BodyTextIndent3Char"/>
    <w:rsid w:val="005946CC"/>
    <w:pPr>
      <w:spacing w:after="120"/>
      <w:ind w:left="360"/>
    </w:pPr>
    <w:rPr>
      <w:sz w:val="16"/>
      <w:szCs w:val="16"/>
    </w:rPr>
  </w:style>
  <w:style w:type="character" w:customStyle="1" w:styleId="BodyTextIndent3Char">
    <w:name w:val="Body Text Indent 3 Char"/>
    <w:link w:val="BodyTextIndent3"/>
    <w:rsid w:val="005946CC"/>
    <w:rPr>
      <w:sz w:val="16"/>
      <w:szCs w:val="16"/>
      <w:lang w:eastAsia="zh-CN"/>
    </w:rPr>
  </w:style>
  <w:style w:type="paragraph" w:styleId="Title">
    <w:name w:val="Title"/>
    <w:basedOn w:val="Normal"/>
    <w:link w:val="TitleChar"/>
    <w:qFormat/>
    <w:rsid w:val="00C25FAC"/>
    <w:pPr>
      <w:jc w:val="center"/>
    </w:pPr>
    <w:rPr>
      <w:rFonts w:ascii="Arial" w:eastAsia="Times New Roman" w:hAnsi="Arial"/>
      <w:b/>
      <w:sz w:val="22"/>
      <w:szCs w:val="22"/>
      <w:lang w:eastAsia="en-US"/>
    </w:rPr>
  </w:style>
  <w:style w:type="character" w:customStyle="1" w:styleId="TitleChar">
    <w:name w:val="Title Char"/>
    <w:link w:val="Title"/>
    <w:rsid w:val="00C25FAC"/>
    <w:rPr>
      <w:rFonts w:ascii="Arial" w:eastAsia="Times New Roman" w:hAnsi="Arial"/>
      <w:b/>
      <w:sz w:val="22"/>
      <w:szCs w:val="22"/>
    </w:rPr>
  </w:style>
  <w:style w:type="character" w:customStyle="1" w:styleId="tableChar">
    <w:name w:val="table Char"/>
    <w:link w:val="table"/>
    <w:locked/>
    <w:rsid w:val="00C25FAC"/>
    <w:rPr>
      <w:rFonts w:ascii="AbsaraSansOT-Light" w:eastAsia="Times New Roman" w:hAnsi="AbsaraSansOT-Light"/>
      <w:color w:val="000000"/>
      <w:sz w:val="18"/>
    </w:rPr>
  </w:style>
  <w:style w:type="paragraph" w:customStyle="1" w:styleId="table">
    <w:name w:val="table"/>
    <w:basedOn w:val="Normal"/>
    <w:link w:val="tableChar"/>
    <w:qFormat/>
    <w:rsid w:val="00C25FAC"/>
    <w:pPr>
      <w:framePr w:hSpace="180" w:wrap="around" w:vAnchor="page" w:hAnchor="margin" w:xAlign="right" w:y="2145"/>
      <w:autoSpaceDE w:val="0"/>
      <w:autoSpaceDN w:val="0"/>
      <w:adjustRightInd w:val="0"/>
      <w:spacing w:line="228" w:lineRule="auto"/>
    </w:pPr>
    <w:rPr>
      <w:rFonts w:ascii="AbsaraSansOT-Light" w:eastAsia="Times New Roman" w:hAnsi="AbsaraSansOT-Light"/>
      <w:color w:val="000000"/>
      <w:sz w:val="18"/>
      <w:szCs w:val="20"/>
      <w:lang w:eastAsia="en-US"/>
    </w:rPr>
  </w:style>
</w:styles>
</file>

<file path=word/webSettings.xml><?xml version="1.0" encoding="utf-8"?>
<w:webSettings xmlns:r="http://schemas.openxmlformats.org/officeDocument/2006/relationships" xmlns:w="http://schemas.openxmlformats.org/wordprocessingml/2006/main">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kguilfoyle@bdo.com%20" TargetMode="External"/><Relationship Id="rId13" Type="http://schemas.openxmlformats.org/officeDocument/2006/relationships/hyperlink" Target="http://info.sjsu.edu/web-dbgen/narr/catalog/rec-12234.12506.html" TargetMode="External"/><Relationship Id="rId18" Type="http://schemas.openxmlformats.org/officeDocument/2006/relationships/hyperlink" Target="http://www.sjsu.edu/aec" TargetMode="External"/><Relationship Id="rId3" Type="http://schemas.openxmlformats.org/officeDocument/2006/relationships/styles" Target="styles.xml"/><Relationship Id="rId21" Type="http://schemas.openxmlformats.org/officeDocument/2006/relationships/hyperlink" Target="http://www.sjsu.edu/senate/docs/S12-3.pdf" TargetMode="External"/><Relationship Id="rId7" Type="http://schemas.openxmlformats.org/officeDocument/2006/relationships/endnotes" Target="endnotes.xml"/><Relationship Id="rId12" Type="http://schemas.openxmlformats.org/officeDocument/2006/relationships/hyperlink" Target="http://www.sjsu.edu/senate/docs/S90-5.pdf" TargetMode="External"/><Relationship Id="rId17" Type="http://schemas.openxmlformats.org/officeDocument/2006/relationships/hyperlink" Target="http://www.sjsu.edu/president/docs/directives/PD_1997-03.pdf" TargetMode="External"/><Relationship Id="rId2" Type="http://schemas.openxmlformats.org/officeDocument/2006/relationships/numbering" Target="numbering.xml"/><Relationship Id="rId16" Type="http://schemas.openxmlformats.org/officeDocument/2006/relationships/hyperlink" Target="http://www.sjsu.edu/president/docs/directives/PD_1997-03.pdf" TargetMode="External"/><Relationship Id="rId20" Type="http://schemas.openxmlformats.org/officeDocument/2006/relationships/hyperlink" Target="http://www.sjsu.edu/senate/docs/S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jsu.edu/studentconduct/" TargetMode="External"/><Relationship Id="rId23" Type="http://schemas.openxmlformats.org/officeDocument/2006/relationships/fontTable" Target="fontTable.xml"/><Relationship Id="rId10" Type="http://schemas.openxmlformats.org/officeDocument/2006/relationships/hyperlink" Target="http://www.sjsu.edu/senate/docs/S12-3.pdf" TargetMode="External"/><Relationship Id="rId19" Type="http://schemas.openxmlformats.org/officeDocument/2006/relationships/hyperlink" Target="http://www.sjsu.edu/aec" TargetMode="External"/><Relationship Id="rId4" Type="http://schemas.openxmlformats.org/officeDocument/2006/relationships/settings" Target="settings.xml"/><Relationship Id="rId9" Type="http://schemas.openxmlformats.org/officeDocument/2006/relationships/hyperlink" Target="http://www.barnesandnoble.com/w/ethical-obligations-and-decision-making-in-accounting-steven-mintz/1117354848?ean=9780077862213" TargetMode="External"/><Relationship Id="rId14" Type="http://schemas.openxmlformats.org/officeDocument/2006/relationships/hyperlink" Target="http://www.sjsu.edu/senate/docs/S07-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F854-CA97-40E2-83E4-F9991B49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10147</CharactersWithSpaces>
  <SharedDoc>false</SharedDoc>
  <HLinks>
    <vt:vector size="84" baseType="variant">
      <vt:variant>
        <vt:i4>5308423</vt:i4>
      </vt:variant>
      <vt:variant>
        <vt:i4>39</vt:i4>
      </vt:variant>
      <vt:variant>
        <vt:i4>0</vt:i4>
      </vt:variant>
      <vt:variant>
        <vt:i4>5</vt:i4>
      </vt:variant>
      <vt:variant>
        <vt:lpwstr>http://www.sjsu.edu/senate/docs/S12-3.pdf</vt:lpwstr>
      </vt:variant>
      <vt:variant>
        <vt:lpwstr/>
      </vt:variant>
      <vt:variant>
        <vt:i4>5308423</vt:i4>
      </vt:variant>
      <vt:variant>
        <vt:i4>36</vt:i4>
      </vt:variant>
      <vt:variant>
        <vt:i4>0</vt:i4>
      </vt:variant>
      <vt:variant>
        <vt:i4>5</vt:i4>
      </vt:variant>
      <vt:variant>
        <vt:lpwstr>http://www.sjsu.edu/senate/docs/S12-3.pdf</vt:lpwstr>
      </vt:variant>
      <vt:variant>
        <vt:lpwstr/>
      </vt:variant>
      <vt:variant>
        <vt:i4>2818110</vt:i4>
      </vt:variant>
      <vt:variant>
        <vt:i4>33</vt:i4>
      </vt:variant>
      <vt:variant>
        <vt:i4>0</vt:i4>
      </vt:variant>
      <vt:variant>
        <vt:i4>5</vt:i4>
      </vt:variant>
      <vt:variant>
        <vt:lpwstr>http://www.sjsu.edu/aec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5242883</vt:i4>
      </vt:variant>
      <vt:variant>
        <vt:i4>18</vt:i4>
      </vt:variant>
      <vt:variant>
        <vt:i4>0</vt:i4>
      </vt:variant>
      <vt:variant>
        <vt:i4>5</vt:i4>
      </vt:variant>
      <vt:variant>
        <vt:lpwstr>http://www.sjsu.edu/senate/docs/S07-2.pdf</vt:lpwstr>
      </vt:variant>
      <vt:variant>
        <vt:lpwstr/>
      </vt:variant>
      <vt:variant>
        <vt:i4>6094867</vt:i4>
      </vt:variant>
      <vt:variant>
        <vt:i4>15</vt:i4>
      </vt:variant>
      <vt:variant>
        <vt:i4>0</vt:i4>
      </vt:variant>
      <vt:variant>
        <vt:i4>5</vt:i4>
      </vt:variant>
      <vt:variant>
        <vt:lpwstr>http://info.sjsu.edu/web-dbgen/narr/catalog/rec-12234.12506.html</vt:lpwstr>
      </vt:variant>
      <vt:variant>
        <vt:lpwstr/>
      </vt:variant>
      <vt:variant>
        <vt:i4>5832707</vt:i4>
      </vt:variant>
      <vt:variant>
        <vt:i4>12</vt:i4>
      </vt:variant>
      <vt:variant>
        <vt:i4>0</vt:i4>
      </vt:variant>
      <vt:variant>
        <vt:i4>5</vt:i4>
      </vt:variant>
      <vt:variant>
        <vt:lpwstr>http://www.sjsu.edu/senate/docs/S90-5.pdf</vt:lpwstr>
      </vt:variant>
      <vt:variant>
        <vt:lpwstr/>
      </vt:variant>
      <vt:variant>
        <vt:i4>5308423</vt:i4>
      </vt:variant>
      <vt:variant>
        <vt:i4>9</vt:i4>
      </vt:variant>
      <vt:variant>
        <vt:i4>0</vt:i4>
      </vt:variant>
      <vt:variant>
        <vt:i4>5</vt:i4>
      </vt:variant>
      <vt:variant>
        <vt:lpwstr>http://www.sjsu.edu/senate/docs/S12-3.pdf</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6619262</vt:i4>
      </vt:variant>
      <vt:variant>
        <vt:i4>3</vt:i4>
      </vt:variant>
      <vt:variant>
        <vt:i4>0</vt:i4>
      </vt:variant>
      <vt:variant>
        <vt:i4>5</vt:i4>
      </vt:variant>
      <vt:variant>
        <vt:lpwstr>http://www.barnesandnoble.com/w/ethical-obligations-and-decision-making-in-accounting-steven-mintz/1117354848?ean=9780077862213</vt:lpwstr>
      </vt:variant>
      <vt:variant>
        <vt:lpwstr/>
      </vt:variant>
      <vt:variant>
        <vt:i4>7733328</vt:i4>
      </vt:variant>
      <vt:variant>
        <vt:i4>0</vt:i4>
      </vt:variant>
      <vt:variant>
        <vt:i4>0</vt:i4>
      </vt:variant>
      <vt:variant>
        <vt:i4>5</vt:i4>
      </vt:variant>
      <vt:variant>
        <vt:lpwstr>mailto:kguilfoyle@bdo.com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Catherine Dougherty</cp:lastModifiedBy>
  <cp:revision>2</cp:revision>
  <cp:lastPrinted>2013-12-13T21:56:00Z</cp:lastPrinted>
  <dcterms:created xsi:type="dcterms:W3CDTF">2016-04-19T15:53:00Z</dcterms:created>
  <dcterms:modified xsi:type="dcterms:W3CDTF">2016-04-19T15:53:00Z</dcterms:modified>
</cp:coreProperties>
</file>