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6D7" w:rsidRPr="00F275F0" w:rsidRDefault="00E216D7" w:rsidP="00E216D7">
      <w:pPr>
        <w:pStyle w:val="Heading1"/>
        <w:spacing w:before="240"/>
      </w:pPr>
      <w:r>
        <w:t>San José State University</w:t>
      </w:r>
      <w:r>
        <w:br/>
        <w:t>Mechanical and Aerospace Engineering Department</w:t>
      </w:r>
      <w:r>
        <w:br/>
        <w:t>ME 211 Advanced Heat Transfer (</w:t>
      </w:r>
      <w:r>
        <w:rPr>
          <w:rStyle w:val="pseditboxdisponly"/>
        </w:rPr>
        <w:t>27066</w:t>
      </w:r>
      <w:r>
        <w:t>), Spring 2013</w:t>
      </w:r>
    </w:p>
    <w:tbl>
      <w:tblPr>
        <w:tblW w:w="9648" w:type="dxa"/>
        <w:tblLayout w:type="fixed"/>
        <w:tblLook w:val="01E0"/>
      </w:tblPr>
      <w:tblGrid>
        <w:gridCol w:w="3168"/>
        <w:gridCol w:w="6480"/>
      </w:tblGrid>
      <w:tr w:rsidR="00E216D7" w:rsidTr="009B6AA8">
        <w:tc>
          <w:tcPr>
            <w:tcW w:w="3168" w:type="dxa"/>
          </w:tcPr>
          <w:p w:rsidR="00E216D7" w:rsidRPr="006D7FBE" w:rsidRDefault="00E216D7" w:rsidP="009B6AA8">
            <w:pPr>
              <w:pStyle w:val="contactheading"/>
            </w:pPr>
            <w:r w:rsidRPr="006D7FBE">
              <w:t>Instructor:</w:t>
            </w:r>
          </w:p>
        </w:tc>
        <w:tc>
          <w:tcPr>
            <w:tcW w:w="6480" w:type="dxa"/>
          </w:tcPr>
          <w:p w:rsidR="00E216D7" w:rsidRPr="00E216D7" w:rsidRDefault="00E216D7" w:rsidP="009B6AA8">
            <w:pPr>
              <w:rPr>
                <w:rFonts w:ascii="Times New Roman" w:hAnsi="Times New Roman" w:cs="Times New Roman"/>
                <w:sz w:val="24"/>
                <w:szCs w:val="24"/>
              </w:rPr>
            </w:pPr>
            <w:r w:rsidRPr="00E216D7">
              <w:rPr>
                <w:rFonts w:ascii="Times New Roman" w:hAnsi="Times New Roman" w:cs="Times New Roman"/>
                <w:sz w:val="24"/>
                <w:szCs w:val="24"/>
              </w:rPr>
              <w:t>Dr. Jinny Rhee</w:t>
            </w:r>
          </w:p>
        </w:tc>
      </w:tr>
      <w:tr w:rsidR="00E216D7" w:rsidTr="009B6AA8">
        <w:tc>
          <w:tcPr>
            <w:tcW w:w="3168" w:type="dxa"/>
          </w:tcPr>
          <w:p w:rsidR="00E216D7" w:rsidRPr="006D7FBE" w:rsidRDefault="00E216D7" w:rsidP="009B6AA8">
            <w:pPr>
              <w:pStyle w:val="contactheading"/>
            </w:pPr>
            <w:r>
              <w:t>Office Location</w:t>
            </w:r>
            <w:r w:rsidRPr="006D7FBE">
              <w:t>:</w:t>
            </w:r>
          </w:p>
        </w:tc>
        <w:tc>
          <w:tcPr>
            <w:tcW w:w="6480" w:type="dxa"/>
          </w:tcPr>
          <w:p w:rsidR="00E216D7" w:rsidRPr="00E216D7" w:rsidRDefault="00E216D7" w:rsidP="009B6AA8">
            <w:pPr>
              <w:rPr>
                <w:rFonts w:ascii="Times New Roman" w:hAnsi="Times New Roman" w:cs="Times New Roman"/>
                <w:sz w:val="24"/>
                <w:szCs w:val="24"/>
              </w:rPr>
            </w:pPr>
            <w:r w:rsidRPr="00E216D7">
              <w:rPr>
                <w:rFonts w:ascii="Times New Roman" w:hAnsi="Times New Roman" w:cs="Times New Roman"/>
                <w:sz w:val="24"/>
                <w:szCs w:val="24"/>
              </w:rPr>
              <w:t>Engineering Bldg., Rm. 310K</w:t>
            </w:r>
          </w:p>
        </w:tc>
      </w:tr>
      <w:tr w:rsidR="00E216D7" w:rsidTr="009B6AA8">
        <w:tc>
          <w:tcPr>
            <w:tcW w:w="3168" w:type="dxa"/>
          </w:tcPr>
          <w:p w:rsidR="00E216D7" w:rsidRPr="006D7FBE" w:rsidRDefault="00E216D7" w:rsidP="009B6AA8">
            <w:pPr>
              <w:pStyle w:val="contactheading"/>
            </w:pPr>
            <w:r>
              <w:t>Telephone:</w:t>
            </w:r>
          </w:p>
        </w:tc>
        <w:tc>
          <w:tcPr>
            <w:tcW w:w="6480" w:type="dxa"/>
          </w:tcPr>
          <w:p w:rsidR="00E216D7" w:rsidRPr="00E216D7" w:rsidRDefault="00E216D7" w:rsidP="009B6AA8">
            <w:pPr>
              <w:rPr>
                <w:rFonts w:ascii="Times New Roman" w:hAnsi="Times New Roman" w:cs="Times New Roman"/>
                <w:sz w:val="24"/>
                <w:szCs w:val="24"/>
              </w:rPr>
            </w:pPr>
            <w:r w:rsidRPr="00E216D7">
              <w:rPr>
                <w:rFonts w:ascii="Times New Roman" w:hAnsi="Times New Roman" w:cs="Times New Roman"/>
                <w:sz w:val="24"/>
                <w:szCs w:val="24"/>
              </w:rPr>
              <w:t>408-924-3876</w:t>
            </w:r>
          </w:p>
        </w:tc>
      </w:tr>
      <w:tr w:rsidR="00E216D7" w:rsidTr="009B6AA8">
        <w:tc>
          <w:tcPr>
            <w:tcW w:w="3168" w:type="dxa"/>
          </w:tcPr>
          <w:p w:rsidR="00E216D7" w:rsidRPr="006D7FBE" w:rsidRDefault="00E216D7" w:rsidP="009B6AA8">
            <w:pPr>
              <w:pStyle w:val="contactheading"/>
            </w:pPr>
            <w:r>
              <w:t>Email:</w:t>
            </w:r>
          </w:p>
        </w:tc>
        <w:tc>
          <w:tcPr>
            <w:tcW w:w="6480" w:type="dxa"/>
          </w:tcPr>
          <w:p w:rsidR="00E216D7" w:rsidRPr="00E216D7" w:rsidRDefault="00E216D7" w:rsidP="009B6AA8">
            <w:pPr>
              <w:rPr>
                <w:rFonts w:ascii="Times New Roman" w:hAnsi="Times New Roman" w:cs="Times New Roman"/>
                <w:sz w:val="24"/>
                <w:szCs w:val="24"/>
              </w:rPr>
            </w:pPr>
            <w:r w:rsidRPr="00E216D7">
              <w:rPr>
                <w:rFonts w:ascii="Times New Roman" w:hAnsi="Times New Roman" w:cs="Times New Roman"/>
                <w:sz w:val="24"/>
                <w:szCs w:val="24"/>
              </w:rPr>
              <w:t>Jinny.Rhee@sjsu.edu</w:t>
            </w:r>
          </w:p>
        </w:tc>
      </w:tr>
      <w:tr w:rsidR="00E216D7" w:rsidTr="009B6AA8">
        <w:tc>
          <w:tcPr>
            <w:tcW w:w="3168" w:type="dxa"/>
          </w:tcPr>
          <w:p w:rsidR="00E216D7" w:rsidRPr="006D7FBE" w:rsidRDefault="00E216D7" w:rsidP="009B6AA8">
            <w:pPr>
              <w:pStyle w:val="contactheading"/>
            </w:pPr>
            <w:r w:rsidRPr="006D7FBE">
              <w:t xml:space="preserve">Office </w:t>
            </w:r>
            <w:r>
              <w:t>H</w:t>
            </w:r>
            <w:r w:rsidRPr="006D7FBE">
              <w:t>ours:</w:t>
            </w:r>
          </w:p>
        </w:tc>
        <w:tc>
          <w:tcPr>
            <w:tcW w:w="6480" w:type="dxa"/>
          </w:tcPr>
          <w:p w:rsidR="00E216D7" w:rsidRPr="00E216D7" w:rsidRDefault="00E216D7" w:rsidP="009B6AA8">
            <w:pPr>
              <w:rPr>
                <w:rFonts w:ascii="Times New Roman" w:hAnsi="Times New Roman" w:cs="Times New Roman"/>
                <w:sz w:val="24"/>
                <w:szCs w:val="24"/>
              </w:rPr>
            </w:pPr>
            <w:r w:rsidRPr="00E216D7">
              <w:rPr>
                <w:rFonts w:ascii="Times New Roman" w:hAnsi="Times New Roman" w:cs="Times New Roman"/>
                <w:sz w:val="24"/>
                <w:szCs w:val="24"/>
              </w:rPr>
              <w:t>T 10:30 – 11:30 AM, W 12:30 – 1:30 PM</w:t>
            </w:r>
          </w:p>
        </w:tc>
      </w:tr>
      <w:tr w:rsidR="00E216D7" w:rsidTr="00E216D7">
        <w:trPr>
          <w:trHeight w:val="488"/>
        </w:trPr>
        <w:tc>
          <w:tcPr>
            <w:tcW w:w="3168" w:type="dxa"/>
          </w:tcPr>
          <w:p w:rsidR="00E216D7" w:rsidRPr="006D7FBE" w:rsidRDefault="00E216D7" w:rsidP="009B6AA8">
            <w:pPr>
              <w:pStyle w:val="contactheading"/>
            </w:pPr>
            <w:r w:rsidRPr="006D7FBE">
              <w:t xml:space="preserve">Class </w:t>
            </w:r>
            <w:r>
              <w:t>D</w:t>
            </w:r>
            <w:r w:rsidRPr="006D7FBE">
              <w:t>ays/</w:t>
            </w:r>
            <w:r>
              <w:t>T</w:t>
            </w:r>
            <w:r w:rsidRPr="006D7FBE">
              <w:t>ime:</w:t>
            </w:r>
          </w:p>
        </w:tc>
        <w:tc>
          <w:tcPr>
            <w:tcW w:w="6480" w:type="dxa"/>
          </w:tcPr>
          <w:p w:rsidR="00E216D7" w:rsidRPr="00E216D7" w:rsidRDefault="00E216D7" w:rsidP="00E216D7">
            <w:pPr>
              <w:rPr>
                <w:rFonts w:ascii="Times New Roman" w:hAnsi="Times New Roman" w:cs="Times New Roman"/>
                <w:sz w:val="24"/>
                <w:szCs w:val="24"/>
              </w:rPr>
            </w:pPr>
            <w:r w:rsidRPr="00E216D7">
              <w:rPr>
                <w:rFonts w:ascii="Times New Roman" w:hAnsi="Times New Roman" w:cs="Times New Roman"/>
                <w:sz w:val="24"/>
                <w:szCs w:val="24"/>
              </w:rPr>
              <w:t xml:space="preserve">MW </w:t>
            </w:r>
            <w:r>
              <w:rPr>
                <w:rFonts w:ascii="Times New Roman" w:hAnsi="Times New Roman" w:cs="Times New Roman"/>
                <w:sz w:val="24"/>
                <w:szCs w:val="24"/>
              </w:rPr>
              <w:t>4:30 PM – 5</w:t>
            </w:r>
            <w:r w:rsidRPr="00E216D7">
              <w:rPr>
                <w:rFonts w:ascii="Times New Roman" w:hAnsi="Times New Roman" w:cs="Times New Roman"/>
                <w:sz w:val="24"/>
                <w:szCs w:val="24"/>
              </w:rPr>
              <w:t>:</w:t>
            </w:r>
            <w:r>
              <w:rPr>
                <w:rFonts w:ascii="Times New Roman" w:hAnsi="Times New Roman" w:cs="Times New Roman"/>
                <w:sz w:val="24"/>
                <w:szCs w:val="24"/>
              </w:rPr>
              <w:t>45</w:t>
            </w:r>
            <w:r w:rsidRPr="00E216D7">
              <w:rPr>
                <w:rFonts w:ascii="Times New Roman" w:hAnsi="Times New Roman" w:cs="Times New Roman"/>
                <w:sz w:val="24"/>
                <w:szCs w:val="24"/>
              </w:rPr>
              <w:t xml:space="preserve"> PM</w:t>
            </w:r>
          </w:p>
        </w:tc>
      </w:tr>
      <w:tr w:rsidR="00E216D7" w:rsidTr="009B6AA8">
        <w:tc>
          <w:tcPr>
            <w:tcW w:w="3168" w:type="dxa"/>
          </w:tcPr>
          <w:p w:rsidR="00E216D7" w:rsidRPr="006D7FBE" w:rsidRDefault="00E216D7" w:rsidP="009B6AA8">
            <w:pPr>
              <w:pStyle w:val="contactheading"/>
            </w:pPr>
            <w:r w:rsidRPr="006D7FBE">
              <w:t>Classroom:</w:t>
            </w:r>
          </w:p>
        </w:tc>
        <w:tc>
          <w:tcPr>
            <w:tcW w:w="6480" w:type="dxa"/>
          </w:tcPr>
          <w:p w:rsidR="00E216D7" w:rsidRPr="00E216D7" w:rsidRDefault="00E216D7" w:rsidP="009B6AA8">
            <w:pPr>
              <w:rPr>
                <w:rFonts w:ascii="Times New Roman" w:hAnsi="Times New Roman" w:cs="Times New Roman"/>
                <w:sz w:val="24"/>
                <w:szCs w:val="24"/>
              </w:rPr>
            </w:pPr>
            <w:r w:rsidRPr="00E216D7">
              <w:rPr>
                <w:rFonts w:ascii="Times New Roman" w:hAnsi="Times New Roman" w:cs="Times New Roman"/>
                <w:sz w:val="24"/>
                <w:szCs w:val="24"/>
              </w:rPr>
              <w:t>Engineering Bldg., Rm 331</w:t>
            </w:r>
          </w:p>
        </w:tc>
      </w:tr>
      <w:tr w:rsidR="00E216D7" w:rsidTr="009B6AA8">
        <w:tc>
          <w:tcPr>
            <w:tcW w:w="3168" w:type="dxa"/>
          </w:tcPr>
          <w:p w:rsidR="00E216D7" w:rsidRPr="006D7FBE" w:rsidRDefault="00E216D7" w:rsidP="009B6AA8">
            <w:pPr>
              <w:pStyle w:val="contactheading"/>
            </w:pPr>
            <w:r w:rsidRPr="006D7FBE">
              <w:t>Prerequisites:</w:t>
            </w:r>
          </w:p>
        </w:tc>
        <w:tc>
          <w:tcPr>
            <w:tcW w:w="6480" w:type="dxa"/>
          </w:tcPr>
          <w:p w:rsidR="00E216D7" w:rsidRPr="00E216D7" w:rsidRDefault="00E216D7" w:rsidP="009B6AA8">
            <w:pPr>
              <w:rPr>
                <w:rFonts w:ascii="Times New Roman" w:hAnsi="Times New Roman" w:cs="Times New Roman"/>
                <w:sz w:val="24"/>
                <w:szCs w:val="24"/>
              </w:rPr>
            </w:pPr>
            <w:r>
              <w:rPr>
                <w:rFonts w:ascii="Times New Roman" w:hAnsi="Times New Roman" w:cs="Times New Roman"/>
                <w:sz w:val="24"/>
                <w:szCs w:val="24"/>
              </w:rPr>
              <w:t>ME 114 or equivalent</w:t>
            </w:r>
          </w:p>
        </w:tc>
      </w:tr>
    </w:tbl>
    <w:p w:rsidR="00E216D7" w:rsidRDefault="00E216D7" w:rsidP="00E216D7">
      <w:pPr>
        <w:pStyle w:val="Heading2"/>
      </w:pPr>
      <w:r>
        <w:t>Online Course Resources</w:t>
      </w:r>
    </w:p>
    <w:p w:rsidR="00E216D7" w:rsidRPr="00E216D7" w:rsidRDefault="00E216D7" w:rsidP="00E216D7">
      <w:pPr>
        <w:rPr>
          <w:rFonts w:ascii="Times New Roman" w:hAnsi="Times New Roman" w:cs="Times New Roman"/>
          <w:sz w:val="24"/>
          <w:szCs w:val="24"/>
        </w:rPr>
      </w:pPr>
      <w:r w:rsidRPr="00E216D7">
        <w:rPr>
          <w:rFonts w:ascii="Times New Roman" w:hAnsi="Times New Roman" w:cs="Times New Roman"/>
          <w:sz w:val="24"/>
          <w:szCs w:val="24"/>
        </w:rPr>
        <w:t xml:space="preserve">Electronic copies of the course materials such as the syllabus, handouts, lectures, grades, etc. may be found on my </w:t>
      </w:r>
      <w:r>
        <w:rPr>
          <w:rFonts w:ascii="Times New Roman" w:hAnsi="Times New Roman" w:cs="Times New Roman"/>
          <w:sz w:val="24"/>
          <w:szCs w:val="24"/>
        </w:rPr>
        <w:t>ME 211</w:t>
      </w:r>
      <w:r w:rsidRPr="00E216D7">
        <w:rPr>
          <w:rFonts w:ascii="Times New Roman" w:hAnsi="Times New Roman" w:cs="Times New Roman"/>
          <w:sz w:val="24"/>
          <w:szCs w:val="24"/>
        </w:rPr>
        <w:t xml:space="preserve"> course shell in </w:t>
      </w:r>
      <w:r w:rsidRPr="00E216D7">
        <w:rPr>
          <w:rFonts w:ascii="Times New Roman" w:hAnsi="Times New Roman" w:cs="Times New Roman"/>
          <w:b/>
          <w:sz w:val="24"/>
          <w:szCs w:val="24"/>
        </w:rPr>
        <w:t>Canvas</w:t>
      </w:r>
      <w:r w:rsidRPr="00E216D7">
        <w:rPr>
          <w:rFonts w:ascii="Times New Roman" w:hAnsi="Times New Roman" w:cs="Times New Roman"/>
          <w:sz w:val="24"/>
          <w:szCs w:val="24"/>
        </w:rPr>
        <w:t xml:space="preserve"> (</w:t>
      </w:r>
      <w:hyperlink r:id="rId7" w:history="1">
        <w:r w:rsidRPr="00E216D7">
          <w:rPr>
            <w:rStyle w:val="Hyperlink"/>
            <w:rFonts w:ascii="Times New Roman" w:hAnsi="Times New Roman" w:cs="Times New Roman"/>
            <w:sz w:val="24"/>
            <w:szCs w:val="24"/>
          </w:rPr>
          <w:t>http://sjsu.instructure.com</w:t>
        </w:r>
      </w:hyperlink>
      <w:r w:rsidRPr="00E216D7">
        <w:rPr>
          <w:rFonts w:ascii="Times New Roman" w:hAnsi="Times New Roman" w:cs="Times New Roman"/>
          <w:sz w:val="24"/>
          <w:szCs w:val="24"/>
        </w:rPr>
        <w:t xml:space="preserve">, see </w:t>
      </w:r>
      <w:hyperlink r:id="rId8" w:history="1">
        <w:r w:rsidRPr="00E216D7">
          <w:rPr>
            <w:rStyle w:val="Hyperlink"/>
            <w:rFonts w:ascii="Times New Roman" w:hAnsi="Times New Roman" w:cs="Times New Roman"/>
            <w:sz w:val="24"/>
            <w:szCs w:val="24"/>
          </w:rPr>
          <w:t>http://www.sjsu.edu/at/ec/canvas/student_resources/index.html</w:t>
        </w:r>
      </w:hyperlink>
      <w:r w:rsidRPr="00E216D7">
        <w:rPr>
          <w:rFonts w:ascii="Times New Roman" w:hAnsi="Times New Roman" w:cs="Times New Roman"/>
          <w:sz w:val="24"/>
          <w:szCs w:val="24"/>
        </w:rPr>
        <w:t xml:space="preserve"> to get started).  You will automatically receive an account when you are registered in the course.  You will be able to contact your classmates and instructor here through email and the discussion board, which may be useful for collaborating on the homework and project.  I would encourage you to upload a photo of yourself so that your classmates can easily identify you. </w:t>
      </w:r>
    </w:p>
    <w:p w:rsidR="00E216D7" w:rsidRDefault="00E216D7" w:rsidP="00E216D7">
      <w:pPr>
        <w:pStyle w:val="Heading2"/>
      </w:pPr>
      <w:r>
        <w:t xml:space="preserve">Course Description </w:t>
      </w:r>
    </w:p>
    <w:p w:rsidR="00E216D7" w:rsidRDefault="00E216D7" w:rsidP="00E216D7">
      <w:pPr>
        <w:spacing w:after="0"/>
        <w:ind w:right="993"/>
        <w:rPr>
          <w:rFonts w:ascii="Times New Roman" w:eastAsia="Times New Roman" w:hAnsi="Times New Roman" w:cs="Times New Roman"/>
          <w:sz w:val="24"/>
          <w:szCs w:val="24"/>
        </w:rPr>
      </w:pPr>
      <w:r>
        <w:rPr>
          <w:rFonts w:ascii="Times New Roman" w:eastAsia="Times New Roman" w:hAnsi="Times New Roman" w:cs="Times New Roman"/>
          <w:sz w:val="24"/>
          <w:szCs w:val="24"/>
        </w:rPr>
        <w:t>Conduction, convection and rad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ation heat trans</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er, including conjugate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ethods and use of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 to solve heat transfer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rsidR="00E216D7" w:rsidRDefault="00E216D7" w:rsidP="00E216D7">
      <w:pPr>
        <w:spacing w:after="0" w:line="240" w:lineRule="auto"/>
        <w:ind w:right="-20"/>
        <w:rPr>
          <w:rFonts w:ascii="Arial" w:eastAsia="Arial" w:hAnsi="Arial" w:cs="Arial"/>
          <w:b/>
          <w:bCs/>
          <w:sz w:val="24"/>
          <w:szCs w:val="24"/>
        </w:rPr>
      </w:pPr>
    </w:p>
    <w:p w:rsidR="00E216D7" w:rsidRDefault="00E216D7" w:rsidP="00E216D7">
      <w:pPr>
        <w:spacing w:after="0" w:line="240" w:lineRule="auto"/>
        <w:ind w:right="-20"/>
        <w:rPr>
          <w:rFonts w:ascii="Arial" w:eastAsia="Arial" w:hAnsi="Arial" w:cs="Arial"/>
          <w:sz w:val="24"/>
          <w:szCs w:val="24"/>
        </w:rPr>
      </w:pPr>
      <w:r>
        <w:rPr>
          <w:rFonts w:ascii="Arial" w:eastAsia="Arial" w:hAnsi="Arial" w:cs="Arial"/>
          <w:b/>
          <w:bCs/>
          <w:sz w:val="24"/>
          <w:szCs w:val="24"/>
        </w:rPr>
        <w:t>Course Goals</w:t>
      </w:r>
    </w:p>
    <w:p w:rsidR="00E216D7" w:rsidRDefault="00E216D7" w:rsidP="00E216D7">
      <w:pPr>
        <w:spacing w:before="5" w:after="0" w:line="100" w:lineRule="exact"/>
        <w:rPr>
          <w:sz w:val="10"/>
          <w:szCs w:val="10"/>
        </w:rPr>
      </w:pPr>
    </w:p>
    <w:p w:rsidR="00E216D7" w:rsidRDefault="00E216D7" w:rsidP="00005387">
      <w:pPr>
        <w:tabs>
          <w:tab w:val="left" w:pos="460"/>
        </w:tabs>
        <w:spacing w:after="0"/>
        <w:ind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To provide an advanced understanding of the basic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odes of heat transfer</w:t>
      </w:r>
    </w:p>
    <w:p w:rsidR="00E216D7" w:rsidRDefault="00E216D7" w:rsidP="00005387">
      <w:pPr>
        <w:tabs>
          <w:tab w:val="left" w:pos="460"/>
        </w:tabs>
        <w:spacing w:after="0"/>
        <w:ind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onstrate different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echniques used in solving heat trans</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er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rsidR="00E216D7" w:rsidRDefault="00E216D7" w:rsidP="00005387">
      <w:pPr>
        <w:tabs>
          <w:tab w:val="left" w:pos="460"/>
        </w:tabs>
        <w:spacing w:after="0"/>
        <w:ind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To teach ba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cs of research and engi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eering in heat transfer</w:t>
      </w:r>
    </w:p>
    <w:p w:rsidR="00E216D7" w:rsidRDefault="00E216D7" w:rsidP="00005387">
      <w:pPr>
        <w:spacing w:before="3" w:after="0"/>
      </w:pPr>
    </w:p>
    <w:p w:rsidR="00E216D7" w:rsidRDefault="00E216D7" w:rsidP="00005387">
      <w:pPr>
        <w:spacing w:after="0"/>
        <w:ind w:right="-20"/>
        <w:rPr>
          <w:rFonts w:ascii="Arial" w:eastAsia="Arial" w:hAnsi="Arial" w:cs="Arial"/>
          <w:sz w:val="24"/>
          <w:szCs w:val="24"/>
        </w:rPr>
      </w:pPr>
      <w:r>
        <w:rPr>
          <w:rFonts w:ascii="Arial" w:eastAsia="Arial" w:hAnsi="Arial" w:cs="Arial"/>
          <w:b/>
          <w:bCs/>
          <w:sz w:val="24"/>
          <w:szCs w:val="24"/>
        </w:rPr>
        <w:t>Student Learning Objectives</w:t>
      </w:r>
    </w:p>
    <w:p w:rsidR="00E216D7" w:rsidRDefault="00E216D7" w:rsidP="00005387">
      <w:pPr>
        <w:spacing w:before="5" w:after="0"/>
        <w:rPr>
          <w:sz w:val="10"/>
          <w:szCs w:val="10"/>
        </w:rPr>
      </w:pPr>
    </w:p>
    <w:p w:rsidR="00E216D7" w:rsidRDefault="00E216D7" w:rsidP="00005387">
      <w:pPr>
        <w:tabs>
          <w:tab w:val="left" w:pos="460"/>
        </w:tabs>
        <w:spacing w:after="0"/>
        <w:ind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lastRenderedPageBreak/>
        <w:t>•</w:t>
      </w:r>
      <w:r>
        <w:rPr>
          <w:rFonts w:ascii="Times New Roman" w:eastAsia="Times New Roman" w:hAnsi="Times New Roman" w:cs="Times New Roman"/>
          <w:sz w:val="24"/>
          <w:szCs w:val="24"/>
        </w:rPr>
        <w:tab/>
        <w:t xml:space="preserve">To </w:t>
      </w:r>
      <w:r w:rsidR="00005387">
        <w:rPr>
          <w:rFonts w:ascii="Times New Roman" w:eastAsia="Times New Roman" w:hAnsi="Times New Roman" w:cs="Times New Roman"/>
          <w:sz w:val="24"/>
          <w:szCs w:val="24"/>
        </w:rPr>
        <w:t>understand derivation and limitations of the heat conduction equation, application of assumptions and boundary conditions, solution methodology, and implications for multiple dimensions and transients.</w:t>
      </w:r>
    </w:p>
    <w:p w:rsidR="00E216D7" w:rsidRDefault="00E216D7" w:rsidP="00005387">
      <w:pPr>
        <w:tabs>
          <w:tab w:val="left" w:pos="460"/>
        </w:tabs>
        <w:spacing w:after="0"/>
        <w:ind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To </w:t>
      </w:r>
      <w:r w:rsidR="00005387">
        <w:rPr>
          <w:rFonts w:ascii="Times New Roman" w:eastAsia="Times New Roman" w:hAnsi="Times New Roman" w:cs="Times New Roman"/>
          <w:sz w:val="24"/>
          <w:szCs w:val="24"/>
        </w:rPr>
        <w:t xml:space="preserve">understand the mathematics behind </w:t>
      </w:r>
      <w:r w:rsidR="00B83B4E">
        <w:rPr>
          <w:rFonts w:ascii="Times New Roman" w:eastAsia="Times New Roman" w:hAnsi="Times New Roman" w:cs="Times New Roman"/>
          <w:sz w:val="24"/>
          <w:szCs w:val="24"/>
        </w:rPr>
        <w:t xml:space="preserve">forced </w:t>
      </w:r>
      <w:r w:rsidR="00005387">
        <w:rPr>
          <w:rFonts w:ascii="Times New Roman" w:eastAsia="Times New Roman" w:hAnsi="Times New Roman" w:cs="Times New Roman"/>
          <w:sz w:val="24"/>
          <w:szCs w:val="24"/>
        </w:rPr>
        <w:t xml:space="preserve">convection heat transfer, including laminar and turbulent flows, </w:t>
      </w:r>
      <w:r w:rsidR="00B83B4E">
        <w:rPr>
          <w:rFonts w:ascii="Times New Roman" w:eastAsia="Times New Roman" w:hAnsi="Times New Roman" w:cs="Times New Roman"/>
          <w:sz w:val="24"/>
          <w:szCs w:val="24"/>
        </w:rPr>
        <w:t xml:space="preserve">common turbulence models, </w:t>
      </w:r>
      <w:r w:rsidR="00005387">
        <w:rPr>
          <w:rFonts w:ascii="Times New Roman" w:eastAsia="Times New Roman" w:hAnsi="Times New Roman" w:cs="Times New Roman"/>
          <w:sz w:val="24"/>
          <w:szCs w:val="24"/>
        </w:rPr>
        <w:t>and their application.</w:t>
      </w:r>
    </w:p>
    <w:p w:rsidR="00E216D7" w:rsidRDefault="00E216D7" w:rsidP="00005387">
      <w:pPr>
        <w:tabs>
          <w:tab w:val="left" w:pos="460"/>
        </w:tabs>
        <w:spacing w:after="0"/>
        <w:ind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To </w:t>
      </w:r>
      <w:r w:rsidR="00005387">
        <w:rPr>
          <w:rFonts w:ascii="Times New Roman" w:eastAsia="Times New Roman" w:hAnsi="Times New Roman" w:cs="Times New Roman"/>
          <w:sz w:val="24"/>
          <w:szCs w:val="24"/>
        </w:rPr>
        <w:t>understand the basics of two-phase/boiling heat transfer</w:t>
      </w:r>
    </w:p>
    <w:p w:rsidR="00E216D7" w:rsidRDefault="00E216D7" w:rsidP="00005387">
      <w:pPr>
        <w:tabs>
          <w:tab w:val="left" w:pos="460"/>
        </w:tabs>
        <w:spacing w:after="0"/>
        <w:ind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To </w:t>
      </w:r>
      <w:r w:rsidR="00B83B4E">
        <w:rPr>
          <w:rFonts w:ascii="Times New Roman" w:eastAsia="Times New Roman" w:hAnsi="Times New Roman" w:cs="Times New Roman"/>
          <w:sz w:val="24"/>
          <w:szCs w:val="24"/>
        </w:rPr>
        <w:t>understand radiation between diffuse surfaces, with and without participating media.</w:t>
      </w:r>
    </w:p>
    <w:p w:rsidR="00E216D7" w:rsidRDefault="00E216D7" w:rsidP="00E216D7">
      <w:pPr>
        <w:pStyle w:val="Heading2"/>
      </w:pPr>
      <w:r>
        <w:t xml:space="preserve">Required Texts/Readings </w:t>
      </w:r>
    </w:p>
    <w:p w:rsidR="00E216D7" w:rsidRDefault="00E216D7" w:rsidP="00E216D7">
      <w:pPr>
        <w:pStyle w:val="Heading3"/>
      </w:pPr>
      <w:r>
        <w:t>Textbook</w:t>
      </w:r>
    </w:p>
    <w:p w:rsidR="00D93023" w:rsidRDefault="00B83B4E" w:rsidP="00E216D7">
      <w:pPr>
        <w:rPr>
          <w:rFonts w:ascii="Times New Roman" w:hAnsi="Times New Roman" w:cs="Times New Roman"/>
          <w:sz w:val="24"/>
          <w:szCs w:val="24"/>
        </w:rPr>
      </w:pPr>
      <w:r>
        <w:rPr>
          <w:rFonts w:ascii="Times New Roman" w:hAnsi="Times New Roman" w:cs="Times New Roman"/>
          <w:sz w:val="24"/>
          <w:szCs w:val="24"/>
        </w:rPr>
        <w:t xml:space="preserve">Any undergraduate heat transfer textbook </w:t>
      </w:r>
      <w:r w:rsidR="00D93023">
        <w:rPr>
          <w:rFonts w:ascii="Times New Roman" w:hAnsi="Times New Roman" w:cs="Times New Roman"/>
          <w:sz w:val="24"/>
          <w:szCs w:val="24"/>
        </w:rPr>
        <w:t>is sufficient for this course, such as the following:</w:t>
      </w:r>
    </w:p>
    <w:p w:rsidR="00D93023" w:rsidRDefault="00D93023" w:rsidP="00E216D7">
      <w:pPr>
        <w:rPr>
          <w:rFonts w:ascii="Times New Roman" w:hAnsi="Times New Roman" w:cs="Times New Roman"/>
          <w:sz w:val="24"/>
          <w:szCs w:val="24"/>
        </w:rPr>
      </w:pPr>
      <w:r w:rsidRPr="00D93023">
        <w:rPr>
          <w:rFonts w:ascii="Times New Roman" w:hAnsi="Times New Roman" w:cs="Times New Roman"/>
          <w:b/>
          <w:sz w:val="24"/>
          <w:szCs w:val="24"/>
        </w:rPr>
        <w:t>Heat and Mass Transfer</w:t>
      </w:r>
      <w:r>
        <w:rPr>
          <w:rFonts w:ascii="Times New Roman" w:hAnsi="Times New Roman" w:cs="Times New Roman"/>
          <w:sz w:val="24"/>
          <w:szCs w:val="24"/>
        </w:rPr>
        <w:t>, Y.A. Cengel and A.J. Ghajar, McGraw Hill, 2007</w:t>
      </w:r>
    </w:p>
    <w:p w:rsidR="00D93023" w:rsidRDefault="00D93023" w:rsidP="00E216D7">
      <w:pPr>
        <w:rPr>
          <w:rFonts w:ascii="Times New Roman" w:hAnsi="Times New Roman" w:cs="Times New Roman"/>
          <w:sz w:val="24"/>
          <w:szCs w:val="24"/>
        </w:rPr>
      </w:pPr>
      <w:r>
        <w:rPr>
          <w:rFonts w:ascii="Times New Roman" w:hAnsi="Times New Roman" w:cs="Times New Roman"/>
          <w:sz w:val="24"/>
          <w:szCs w:val="24"/>
        </w:rPr>
        <w:t xml:space="preserve">or </w:t>
      </w:r>
    </w:p>
    <w:p w:rsidR="00E216D7" w:rsidRPr="00B83B4E" w:rsidRDefault="00D93023" w:rsidP="00C5397A">
      <w:pPr>
        <w:rPr>
          <w:rFonts w:ascii="Times New Roman" w:hAnsi="Times New Roman" w:cs="Times New Roman"/>
          <w:sz w:val="24"/>
          <w:szCs w:val="24"/>
        </w:rPr>
      </w:pPr>
      <w:r w:rsidRPr="00D93023">
        <w:rPr>
          <w:rFonts w:ascii="Times New Roman" w:hAnsi="Times New Roman" w:cs="Times New Roman"/>
          <w:b/>
          <w:sz w:val="24"/>
          <w:szCs w:val="24"/>
        </w:rPr>
        <w:t>Fundamentals of Heat and Mass Transfer</w:t>
      </w:r>
      <w:r>
        <w:rPr>
          <w:rFonts w:ascii="Times New Roman" w:hAnsi="Times New Roman" w:cs="Times New Roman"/>
          <w:sz w:val="24"/>
          <w:szCs w:val="24"/>
        </w:rPr>
        <w:t>, F.P. Incropera and D.P. DeWitt, John Wiley and Sons, 2011</w:t>
      </w:r>
    </w:p>
    <w:p w:rsidR="00D93023" w:rsidRPr="00D93023" w:rsidRDefault="00AD1406" w:rsidP="00C5397A">
      <w:pPr>
        <w:pStyle w:val="Heading2"/>
        <w:spacing w:before="0"/>
        <w:rPr>
          <w:rFonts w:ascii="Times New Roman" w:hAnsi="Times New Roman" w:cs="Times New Roman"/>
          <w:b w:val="0"/>
        </w:rPr>
      </w:pPr>
      <w:r>
        <w:rPr>
          <w:rFonts w:ascii="Times New Roman" w:hAnsi="Times New Roman" w:cs="Times New Roman"/>
          <w:b w:val="0"/>
        </w:rPr>
        <w:t xml:space="preserve">Reading assignments are given from Cengel and Ghajar, but the equivalent is easily found in most other undergraduate textbooks.  </w:t>
      </w:r>
      <w:r w:rsidR="00D93023">
        <w:rPr>
          <w:rFonts w:ascii="Times New Roman" w:hAnsi="Times New Roman" w:cs="Times New Roman"/>
          <w:b w:val="0"/>
        </w:rPr>
        <w:t>Additional readings on advanced topics may be provided during the course of the semester.</w:t>
      </w:r>
    </w:p>
    <w:p w:rsidR="00E216D7" w:rsidRPr="002B46F4" w:rsidRDefault="00E216D7" w:rsidP="00E216D7">
      <w:pPr>
        <w:pStyle w:val="Heading2"/>
        <w:spacing w:before="240"/>
      </w:pPr>
      <w:r w:rsidRPr="002B46F4">
        <w:t>Classroom Protocol</w:t>
      </w:r>
    </w:p>
    <w:p w:rsidR="00E216D7" w:rsidRDefault="00D93023" w:rsidP="00E216D7">
      <w:pPr>
        <w:pStyle w:val="Normalnumbered"/>
        <w:numPr>
          <w:ilvl w:val="0"/>
          <w:numId w:val="0"/>
        </w:numPr>
      </w:pPr>
      <w:r>
        <w:t xml:space="preserve">Please arrive to class on time.  </w:t>
      </w:r>
      <w:r w:rsidR="00E216D7" w:rsidRPr="00217550">
        <w:t xml:space="preserve">Most recent updates are presented at the very beginning of each class. Even if tardy or absent, each student is personally responsible for staying up-to-date with all instructions and relevant announcements. </w:t>
      </w:r>
      <w:r w:rsidR="00E216D7">
        <w:t xml:space="preserve"> All participation, including questions during lecture, volunteering solutions, and contributing in group activities, is highly encouraged.  You must exhibit a respectful and professional attitude towards everyone in the classroom at all times.</w:t>
      </w:r>
    </w:p>
    <w:p w:rsidR="00532FD1" w:rsidRDefault="00532FD1" w:rsidP="00E216D7">
      <w:pPr>
        <w:pStyle w:val="Normalnumbered"/>
        <w:numPr>
          <w:ilvl w:val="0"/>
          <w:numId w:val="0"/>
        </w:numPr>
      </w:pPr>
      <w:r>
        <w:t>Some class time will be devoted to lecturing on review or new material, and some will be devoted to workshops, with guided problems and assignments.  The workshops will require some basic equipment such as a laptop with Matlab and MS Excel recommended.</w:t>
      </w:r>
    </w:p>
    <w:p w:rsidR="00E216D7" w:rsidRDefault="00E216D7" w:rsidP="00E216D7">
      <w:pPr>
        <w:pStyle w:val="Heading2"/>
        <w:spacing w:before="240"/>
      </w:pPr>
      <w:r>
        <w:t>Dropping and Adding</w:t>
      </w:r>
    </w:p>
    <w:p w:rsidR="00E216D7" w:rsidRPr="00D060F7" w:rsidRDefault="00E216D7" w:rsidP="00E216D7">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sz w:val="24"/>
          <w:szCs w:val="24"/>
        </w:rPr>
      </w:pPr>
      <w:r w:rsidRPr="00D060F7">
        <w:rPr>
          <w:rFonts w:ascii="Times New Roman" w:hAnsi="Times New Roman" w:cs="Times New Roman"/>
          <w:sz w:val="24"/>
          <w:szCs w:val="24"/>
        </w:rPr>
        <w:t xml:space="preserve">Students are responsible for understanding the policies and procedures about add/drop, grade forgiveness, etc.  Refer to the current semester’s </w:t>
      </w:r>
      <w:hyperlink r:id="rId9" w:history="1">
        <w:r w:rsidRPr="00D060F7">
          <w:rPr>
            <w:rStyle w:val="Hyperlink"/>
            <w:rFonts w:ascii="Times New Roman" w:hAnsi="Times New Roman" w:cs="Times New Roman"/>
            <w:sz w:val="24"/>
            <w:szCs w:val="24"/>
          </w:rPr>
          <w:t>Catalog Policies</w:t>
        </w:r>
      </w:hyperlink>
      <w:r w:rsidRPr="00D060F7">
        <w:rPr>
          <w:rFonts w:ascii="Times New Roman" w:hAnsi="Times New Roman" w:cs="Times New Roman"/>
          <w:sz w:val="24"/>
          <w:szCs w:val="24"/>
        </w:rPr>
        <w:t xml:space="preserve"> section at http://info.sjsu.edu/static/catalog/policies.html.  Add/drop deadlines can be found on the </w:t>
      </w:r>
      <w:hyperlink r:id="rId10" w:history="1">
        <w:r w:rsidRPr="00D060F7">
          <w:rPr>
            <w:rStyle w:val="Hyperlink"/>
            <w:rFonts w:ascii="Times New Roman" w:hAnsi="Times New Roman" w:cs="Times New Roman"/>
            <w:sz w:val="24"/>
            <w:szCs w:val="24"/>
          </w:rPr>
          <w:t>current academic calendar</w:t>
        </w:r>
      </w:hyperlink>
      <w:r w:rsidRPr="00D060F7">
        <w:rPr>
          <w:rFonts w:ascii="Times New Roman" w:hAnsi="Times New Roman" w:cs="Times New Roman"/>
          <w:sz w:val="24"/>
          <w:szCs w:val="24"/>
        </w:rPr>
        <w:t xml:space="preserve"> web page located at </w:t>
      </w:r>
      <w:r w:rsidRPr="00D060F7">
        <w:rPr>
          <w:rFonts w:ascii="Times New Roman" w:hAnsi="Times New Roman" w:cs="Times New Roman"/>
          <w:color w:val="000000"/>
          <w:sz w:val="24"/>
          <w:szCs w:val="24"/>
        </w:rPr>
        <w:t>http://www.sjsu.edu/academic_programs/calendars/academic_calendar/</w:t>
      </w:r>
      <w:r w:rsidRPr="00D060F7">
        <w:rPr>
          <w:rFonts w:ascii="Times New Roman" w:hAnsi="Times New Roman" w:cs="Times New Roman"/>
          <w:sz w:val="24"/>
          <w:szCs w:val="24"/>
        </w:rPr>
        <w:t xml:space="preserve">.  The </w:t>
      </w:r>
      <w:hyperlink r:id="rId11" w:history="1">
        <w:r w:rsidRPr="00D060F7">
          <w:rPr>
            <w:rStyle w:val="Hyperlink"/>
            <w:rFonts w:ascii="Times New Roman" w:hAnsi="Times New Roman" w:cs="Times New Roman"/>
            <w:sz w:val="24"/>
            <w:szCs w:val="24"/>
          </w:rPr>
          <w:t>Late Drop Policy</w:t>
        </w:r>
      </w:hyperlink>
      <w:r w:rsidRPr="00D060F7">
        <w:rPr>
          <w:rFonts w:ascii="Times New Roman" w:hAnsi="Times New Roman" w:cs="Times New Roman"/>
          <w:sz w:val="24"/>
          <w:szCs w:val="24"/>
        </w:rPr>
        <w:t xml:space="preserve"> is available at http://www.sjsu.edu/aars/policies/latedrops/policy/</w:t>
      </w:r>
      <w:r w:rsidRPr="00D060F7">
        <w:rPr>
          <w:rFonts w:ascii="Times New Roman" w:hAnsi="Times New Roman" w:cs="Times New Roman"/>
          <w:b/>
          <w:sz w:val="24"/>
          <w:szCs w:val="24"/>
        </w:rPr>
        <w:t xml:space="preserve">. </w:t>
      </w:r>
      <w:r w:rsidRPr="00D060F7">
        <w:rPr>
          <w:rFonts w:ascii="Times New Roman" w:hAnsi="Times New Roman" w:cs="Times New Roman"/>
          <w:sz w:val="24"/>
          <w:szCs w:val="24"/>
        </w:rPr>
        <w:t xml:space="preserve">Students should be aware of the current deadlines and penalties for dropping classes. </w:t>
      </w:r>
    </w:p>
    <w:p w:rsidR="00E216D7" w:rsidRDefault="00E216D7" w:rsidP="00E216D7">
      <w:pPr>
        <w:pStyle w:val="Heading2"/>
      </w:pPr>
      <w:r>
        <w:lastRenderedPageBreak/>
        <w:t>Assignments and Grading Policy</w:t>
      </w:r>
    </w:p>
    <w:p w:rsidR="00E216D7" w:rsidRDefault="00C5397A" w:rsidP="00E216D7">
      <w:pPr>
        <w:pStyle w:val="Heading3"/>
      </w:pPr>
      <w:r>
        <w:t>Projects</w:t>
      </w:r>
    </w:p>
    <w:p w:rsidR="00C5397A" w:rsidRPr="00D060F7" w:rsidRDefault="00C5397A" w:rsidP="00E216D7">
      <w:pPr>
        <w:rPr>
          <w:rFonts w:ascii="Times New Roman" w:hAnsi="Times New Roman" w:cs="Times New Roman"/>
          <w:sz w:val="24"/>
          <w:szCs w:val="24"/>
        </w:rPr>
      </w:pPr>
      <w:r>
        <w:rPr>
          <w:rFonts w:ascii="Times New Roman" w:hAnsi="Times New Roman" w:cs="Times New Roman"/>
          <w:sz w:val="24"/>
          <w:szCs w:val="24"/>
        </w:rPr>
        <w:t>Projects</w:t>
      </w:r>
      <w:r w:rsidR="00B33DF5">
        <w:rPr>
          <w:rFonts w:ascii="Times New Roman" w:hAnsi="Times New Roman" w:cs="Times New Roman"/>
          <w:sz w:val="24"/>
          <w:szCs w:val="24"/>
        </w:rPr>
        <w:t xml:space="preserve"> covering the graduate heat transfer topics will be </w:t>
      </w:r>
      <w:r>
        <w:rPr>
          <w:rFonts w:ascii="Times New Roman" w:hAnsi="Times New Roman" w:cs="Times New Roman"/>
          <w:sz w:val="24"/>
          <w:szCs w:val="24"/>
        </w:rPr>
        <w:t>assigned</w:t>
      </w:r>
      <w:r w:rsidR="00B33DF5">
        <w:rPr>
          <w:rFonts w:ascii="Times New Roman" w:hAnsi="Times New Roman" w:cs="Times New Roman"/>
          <w:sz w:val="24"/>
          <w:szCs w:val="24"/>
        </w:rPr>
        <w:t xml:space="preserve">.  </w:t>
      </w:r>
      <w:r w:rsidR="00BF0B23">
        <w:rPr>
          <w:rFonts w:ascii="Times New Roman" w:hAnsi="Times New Roman" w:cs="Times New Roman"/>
          <w:sz w:val="24"/>
          <w:szCs w:val="24"/>
        </w:rPr>
        <w:t xml:space="preserve">For the </w:t>
      </w:r>
      <w:r>
        <w:rPr>
          <w:rFonts w:ascii="Times New Roman" w:hAnsi="Times New Roman" w:cs="Times New Roman"/>
          <w:sz w:val="24"/>
          <w:szCs w:val="24"/>
        </w:rPr>
        <w:t>projects</w:t>
      </w:r>
      <w:r w:rsidR="00BF0B23">
        <w:rPr>
          <w:rFonts w:ascii="Times New Roman" w:hAnsi="Times New Roman" w:cs="Times New Roman"/>
          <w:sz w:val="24"/>
          <w:szCs w:val="24"/>
        </w:rPr>
        <w:t xml:space="preserve">, please clearly state the objectives of the problem, the assumptions and methodology used, solution, and the conclusion.  </w:t>
      </w:r>
      <w:r>
        <w:rPr>
          <w:rFonts w:ascii="Times New Roman" w:hAnsi="Times New Roman" w:cs="Times New Roman"/>
          <w:sz w:val="24"/>
          <w:szCs w:val="24"/>
        </w:rPr>
        <w:t xml:space="preserve">Furthermore, homework will be suggested for the undergraduate review topics.  The homeworks are for mastery of undergraduate topics only, and will not be graded.  </w:t>
      </w:r>
    </w:p>
    <w:p w:rsidR="00BF0B23" w:rsidRDefault="00BF0B23" w:rsidP="00BF0B23">
      <w:pPr>
        <w:pStyle w:val="Heading3"/>
      </w:pPr>
      <w:r w:rsidRPr="00A0307E">
        <w:t>Exams</w:t>
      </w:r>
      <w:r>
        <w:t xml:space="preserve"> </w:t>
      </w:r>
    </w:p>
    <w:p w:rsidR="00BF0B23" w:rsidRPr="00BF0B23" w:rsidRDefault="00BF0B23" w:rsidP="00E216D7">
      <w:pPr>
        <w:pStyle w:val="Heading3"/>
        <w:rPr>
          <w:rFonts w:ascii="Times New Roman" w:hAnsi="Times New Roman"/>
          <w:b w:val="0"/>
          <w:sz w:val="24"/>
        </w:rPr>
      </w:pPr>
      <w:r>
        <w:rPr>
          <w:rFonts w:ascii="Times New Roman" w:hAnsi="Times New Roman"/>
          <w:b w:val="0"/>
          <w:sz w:val="24"/>
        </w:rPr>
        <w:t>There will be two exams in this course:  the first will be administered on the second or third class, and will cover undergraduate heat transfer topics.  You may use any textbook or notes you wish t</w:t>
      </w:r>
      <w:r w:rsidR="00B33DF5">
        <w:rPr>
          <w:rFonts w:ascii="Times New Roman" w:hAnsi="Times New Roman"/>
          <w:b w:val="0"/>
          <w:sz w:val="24"/>
        </w:rPr>
        <w:t>o complete this exam.  The grade on this exam will not count towards your final grade.  The second exam will be very similar to the first and administered after the undergraduate heat transfer review portion of the lecture is finished.  ALL STUDENTS MUST RECEIVE AN 80% OR GREATER ON THE SECOND EXAM TO RECEIVE A PASSING GRADE IN THIS COURSE.</w:t>
      </w:r>
    </w:p>
    <w:p w:rsidR="00E216D7" w:rsidRDefault="00BF0B23" w:rsidP="00E216D7">
      <w:pPr>
        <w:pStyle w:val="Heading3"/>
      </w:pPr>
      <w:r>
        <w:t>Final Project</w:t>
      </w:r>
    </w:p>
    <w:p w:rsidR="00E216D7" w:rsidRPr="00BF0B23" w:rsidRDefault="00BF0B23" w:rsidP="00E216D7">
      <w:pPr>
        <w:rPr>
          <w:rFonts w:ascii="Times New Roman" w:hAnsi="Times New Roman" w:cs="Times New Roman"/>
          <w:sz w:val="24"/>
          <w:szCs w:val="24"/>
        </w:rPr>
      </w:pPr>
      <w:r>
        <w:rPr>
          <w:rFonts w:ascii="Times New Roman" w:hAnsi="Times New Roman" w:cs="Times New Roman"/>
          <w:sz w:val="24"/>
          <w:szCs w:val="24"/>
        </w:rPr>
        <w:t>In lieu of a final exam, there will be a final project assigned in the course.  The final project will demonstrate comprehensive understanding of advanced heat transfer, and will require a written report.  Further details will be provided as the assignment date approaches in the course.</w:t>
      </w:r>
    </w:p>
    <w:p w:rsidR="00E216D7" w:rsidRDefault="00E216D7" w:rsidP="00E216D7">
      <w:pPr>
        <w:pStyle w:val="Heading3"/>
      </w:pPr>
      <w:r w:rsidRPr="00241E52">
        <w:t>Grading</w:t>
      </w:r>
      <w:r>
        <w:t xml:space="preserve">  </w:t>
      </w:r>
      <w:r>
        <w:tab/>
      </w:r>
    </w:p>
    <w:p w:rsidR="00E216D7" w:rsidRPr="00B33DF5" w:rsidRDefault="00C5397A" w:rsidP="00B33DF5">
      <w:pPr>
        <w:spacing w:line="240" w:lineRule="auto"/>
        <w:rPr>
          <w:rFonts w:ascii="Times New Roman" w:hAnsi="Times New Roman" w:cs="Times New Roman"/>
          <w:sz w:val="24"/>
          <w:szCs w:val="24"/>
        </w:rPr>
      </w:pPr>
      <w:r>
        <w:rPr>
          <w:rFonts w:ascii="Times New Roman" w:hAnsi="Times New Roman" w:cs="Times New Roman"/>
          <w:sz w:val="24"/>
          <w:szCs w:val="24"/>
        </w:rPr>
        <w:t>Projects</w:t>
      </w:r>
      <w:r w:rsidR="00B33DF5">
        <w:rPr>
          <w:rFonts w:ascii="Times New Roman" w:hAnsi="Times New Roman" w:cs="Times New Roman"/>
          <w:sz w:val="24"/>
          <w:szCs w:val="24"/>
        </w:rPr>
        <w:t xml:space="preserve"> </w:t>
      </w:r>
      <w:r w:rsidR="00B33DF5">
        <w:rPr>
          <w:rFonts w:ascii="Times New Roman" w:hAnsi="Times New Roman" w:cs="Times New Roman"/>
          <w:sz w:val="24"/>
          <w:szCs w:val="24"/>
        </w:rPr>
        <w:tab/>
      </w:r>
      <w:r w:rsidR="00B33DF5">
        <w:rPr>
          <w:rFonts w:ascii="Times New Roman" w:hAnsi="Times New Roman" w:cs="Times New Roman"/>
          <w:sz w:val="24"/>
          <w:szCs w:val="24"/>
        </w:rPr>
        <w:tab/>
      </w:r>
      <w:r w:rsidR="00B33DF5">
        <w:rPr>
          <w:rFonts w:ascii="Times New Roman" w:hAnsi="Times New Roman" w:cs="Times New Roman"/>
          <w:sz w:val="24"/>
          <w:szCs w:val="24"/>
        </w:rPr>
        <w:tab/>
      </w:r>
      <w:r w:rsidR="00B33DF5">
        <w:rPr>
          <w:rFonts w:ascii="Times New Roman" w:hAnsi="Times New Roman" w:cs="Times New Roman"/>
          <w:sz w:val="24"/>
          <w:szCs w:val="24"/>
        </w:rPr>
        <w:tab/>
        <w:t xml:space="preserve">                30</w:t>
      </w:r>
      <w:r w:rsidR="00E216D7" w:rsidRPr="00B33DF5">
        <w:rPr>
          <w:rFonts w:ascii="Times New Roman" w:hAnsi="Times New Roman" w:cs="Times New Roman"/>
          <w:sz w:val="24"/>
          <w:szCs w:val="24"/>
        </w:rPr>
        <w:t>%</w:t>
      </w:r>
    </w:p>
    <w:p w:rsidR="00E216D7" w:rsidRPr="00B33DF5" w:rsidRDefault="00B33DF5" w:rsidP="00B33DF5">
      <w:pPr>
        <w:spacing w:line="240" w:lineRule="auto"/>
        <w:rPr>
          <w:rFonts w:ascii="Times New Roman" w:hAnsi="Times New Roman" w:cs="Times New Roman"/>
          <w:sz w:val="24"/>
          <w:szCs w:val="24"/>
        </w:rPr>
      </w:pPr>
      <w:r>
        <w:rPr>
          <w:rFonts w:ascii="Times New Roman" w:hAnsi="Times New Roman" w:cs="Times New Roman"/>
          <w:sz w:val="24"/>
          <w:szCs w:val="24"/>
        </w:rPr>
        <w:t>Exam*</w:t>
      </w:r>
      <w:r w:rsidR="00E216D7" w:rsidRPr="00B33DF5">
        <w:rPr>
          <w:rFonts w:ascii="Times New Roman" w:hAnsi="Times New Roman" w:cs="Times New Roman"/>
          <w:sz w:val="24"/>
          <w:szCs w:val="24"/>
        </w:rPr>
        <w:t xml:space="preserve">   </w:t>
      </w:r>
      <w:r w:rsidR="00E216D7" w:rsidRPr="00B33DF5">
        <w:rPr>
          <w:rFonts w:ascii="Times New Roman" w:hAnsi="Times New Roman" w:cs="Times New Roman"/>
          <w:sz w:val="24"/>
          <w:szCs w:val="24"/>
        </w:rPr>
        <w:tab/>
      </w:r>
      <w:r w:rsidR="00E216D7" w:rsidRPr="00B33DF5">
        <w:rPr>
          <w:rFonts w:ascii="Times New Roman" w:hAnsi="Times New Roman" w:cs="Times New Roman"/>
          <w:sz w:val="24"/>
          <w:szCs w:val="24"/>
        </w:rPr>
        <w:tab/>
      </w:r>
      <w:r w:rsidR="00E216D7" w:rsidRPr="00B33DF5">
        <w:rPr>
          <w:rFonts w:ascii="Times New Roman" w:hAnsi="Times New Roman" w:cs="Times New Roman"/>
          <w:sz w:val="24"/>
          <w:szCs w:val="24"/>
        </w:rPr>
        <w:tab/>
      </w:r>
      <w:r w:rsidR="00E216D7" w:rsidRPr="00B33DF5">
        <w:rPr>
          <w:rFonts w:ascii="Times New Roman" w:hAnsi="Times New Roman" w:cs="Times New Roman"/>
          <w:sz w:val="24"/>
          <w:szCs w:val="24"/>
        </w:rPr>
        <w:tab/>
        <w:t xml:space="preserve">                </w:t>
      </w:r>
      <w:r>
        <w:rPr>
          <w:rFonts w:ascii="Times New Roman" w:hAnsi="Times New Roman" w:cs="Times New Roman"/>
          <w:sz w:val="24"/>
          <w:szCs w:val="24"/>
        </w:rPr>
        <w:t>30</w:t>
      </w:r>
      <w:r w:rsidR="00E216D7" w:rsidRPr="00B33DF5">
        <w:rPr>
          <w:rFonts w:ascii="Times New Roman" w:hAnsi="Times New Roman" w:cs="Times New Roman"/>
          <w:sz w:val="24"/>
          <w:szCs w:val="24"/>
        </w:rPr>
        <w:t>%</w:t>
      </w:r>
    </w:p>
    <w:p w:rsidR="00E216D7" w:rsidRPr="00B33DF5" w:rsidRDefault="00B33DF5" w:rsidP="00B33DF5">
      <w:pPr>
        <w:spacing w:line="240" w:lineRule="auto"/>
        <w:rPr>
          <w:rFonts w:ascii="Times New Roman" w:hAnsi="Times New Roman" w:cs="Times New Roman"/>
          <w:sz w:val="24"/>
          <w:szCs w:val="24"/>
        </w:rPr>
      </w:pPr>
      <w:r>
        <w:rPr>
          <w:rFonts w:ascii="Times New Roman" w:hAnsi="Times New Roman" w:cs="Times New Roman"/>
          <w:sz w:val="24"/>
          <w:szCs w:val="24"/>
        </w:rPr>
        <w:t>Final Project</w:t>
      </w:r>
      <w:r>
        <w:rPr>
          <w:rFonts w:ascii="Times New Roman" w:hAnsi="Times New Roman" w:cs="Times New Roman"/>
          <w:sz w:val="24"/>
          <w:szCs w:val="24"/>
        </w:rPr>
        <w:tab/>
      </w:r>
      <w:r>
        <w:rPr>
          <w:rFonts w:ascii="Times New Roman" w:hAnsi="Times New Roman" w:cs="Times New Roman"/>
          <w:sz w:val="24"/>
          <w:szCs w:val="24"/>
        </w:rPr>
        <w:tab/>
      </w:r>
      <w:r w:rsidR="00E216D7" w:rsidRPr="00B33DF5">
        <w:rPr>
          <w:rFonts w:ascii="Times New Roman" w:hAnsi="Times New Roman" w:cs="Times New Roman"/>
          <w:sz w:val="24"/>
          <w:szCs w:val="24"/>
        </w:rPr>
        <w:t xml:space="preserve">         </w:t>
      </w:r>
      <w:r>
        <w:rPr>
          <w:rFonts w:ascii="Times New Roman" w:hAnsi="Times New Roman" w:cs="Times New Roman"/>
          <w:sz w:val="24"/>
          <w:szCs w:val="24"/>
        </w:rPr>
        <w:t xml:space="preserve">                               40</w:t>
      </w:r>
      <w:r w:rsidR="00E216D7" w:rsidRPr="00B33DF5">
        <w:rPr>
          <w:rFonts w:ascii="Times New Roman" w:hAnsi="Times New Roman" w:cs="Times New Roman"/>
          <w:sz w:val="24"/>
          <w:szCs w:val="24"/>
        </w:rPr>
        <w:t>%</w:t>
      </w:r>
    </w:p>
    <w:p w:rsidR="00E216D7" w:rsidRDefault="00E216D7" w:rsidP="00E216D7">
      <w:r>
        <w:t>*</w:t>
      </w:r>
      <w:r w:rsidR="00B33DF5">
        <w:rPr>
          <w:sz w:val="24"/>
          <w:szCs w:val="24"/>
        </w:rPr>
        <w:t>All students must receive a grade of 80% or higher on the exam to receive a passing grade in the course.</w:t>
      </w:r>
      <w:r>
        <w:tab/>
      </w:r>
      <w:r>
        <w:tab/>
      </w:r>
    </w:p>
    <w:p w:rsidR="00B33DF5" w:rsidRDefault="00B33DF5" w:rsidP="00B33DF5">
      <w:pPr>
        <w:pStyle w:val="Heading3"/>
      </w:pPr>
      <w:r>
        <w:t>Grading Scale</w:t>
      </w:r>
    </w:p>
    <w:p w:rsidR="00B33DF5" w:rsidRPr="00B33DF5" w:rsidRDefault="00B33DF5" w:rsidP="00B33DF5">
      <w:pPr>
        <w:rPr>
          <w:rFonts w:ascii="Times New Roman" w:eastAsia="Calibri" w:hAnsi="Times New Roman" w:cs="Times New Roman"/>
          <w:sz w:val="24"/>
          <w:szCs w:val="24"/>
        </w:rPr>
      </w:pPr>
      <w:r w:rsidRPr="00B33DF5">
        <w:rPr>
          <w:rFonts w:ascii="Times New Roman" w:eastAsia="Calibri" w:hAnsi="Times New Roman" w:cs="Times New Roman"/>
          <w:sz w:val="24"/>
          <w:szCs w:val="24"/>
        </w:rPr>
        <w:t>A+ = 99-100 | A = 92-98 | A- = 90-91 | B+ = 88-89 | B = 82-87 | B- = 80-81</w:t>
      </w:r>
    </w:p>
    <w:p w:rsidR="00B33DF5" w:rsidRPr="00B33DF5" w:rsidRDefault="00B33DF5" w:rsidP="00B33DF5">
      <w:pPr>
        <w:rPr>
          <w:rFonts w:ascii="Times New Roman" w:eastAsia="Calibri" w:hAnsi="Times New Roman" w:cs="Times New Roman"/>
          <w:sz w:val="24"/>
          <w:szCs w:val="24"/>
        </w:rPr>
      </w:pPr>
      <w:r w:rsidRPr="00B33DF5">
        <w:rPr>
          <w:rFonts w:ascii="Times New Roman" w:eastAsia="Calibri" w:hAnsi="Times New Roman" w:cs="Times New Roman"/>
          <w:sz w:val="24"/>
          <w:szCs w:val="24"/>
        </w:rPr>
        <w:t>C+ = 78-79 | C = 72-77 | C- = 70-71 | D+ = 68-69 | D = 62-67 | D- = 60-61 | F &lt; 60</w:t>
      </w:r>
    </w:p>
    <w:p w:rsidR="00E216D7" w:rsidRPr="00B33DF5" w:rsidRDefault="00E216D7" w:rsidP="00E216D7">
      <w:pPr>
        <w:rPr>
          <w:rFonts w:ascii="Times New Roman" w:hAnsi="Times New Roman" w:cs="Times New Roman"/>
          <w:sz w:val="24"/>
          <w:szCs w:val="24"/>
        </w:rPr>
      </w:pPr>
      <w:r w:rsidRPr="00B33DF5">
        <w:rPr>
          <w:rFonts w:ascii="Times New Roman" w:hAnsi="Times New Roman" w:cs="Times New Roman"/>
          <w:sz w:val="24"/>
          <w:szCs w:val="24"/>
        </w:rPr>
        <w:t>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w:t>
      </w:r>
      <w:r w:rsidR="00AD1406">
        <w:rPr>
          <w:rFonts w:ascii="Times New Roman" w:hAnsi="Times New Roman" w:cs="Times New Roman"/>
          <w:sz w:val="24"/>
          <w:szCs w:val="24"/>
        </w:rPr>
        <w:t xml:space="preserve">cluding but not limited to </w:t>
      </w:r>
      <w:r w:rsidRPr="00B33DF5">
        <w:rPr>
          <w:rFonts w:ascii="Times New Roman" w:hAnsi="Times New Roman" w:cs="Times New Roman"/>
          <w:sz w:val="24"/>
          <w:szCs w:val="24"/>
        </w:rPr>
        <w:t>internships, labs, clinical practica. Other course structures will have equivalent workload expectations as described in the syllabus.</w:t>
      </w:r>
    </w:p>
    <w:p w:rsidR="00E216D7" w:rsidRDefault="00E216D7" w:rsidP="00E216D7">
      <w:pPr>
        <w:pStyle w:val="Heading3"/>
      </w:pPr>
      <w:r>
        <w:t>Exception Handling</w:t>
      </w:r>
    </w:p>
    <w:p w:rsidR="00E216D7" w:rsidRPr="00B33DF5" w:rsidRDefault="00E216D7" w:rsidP="00E216D7">
      <w:pPr>
        <w:rPr>
          <w:rFonts w:ascii="Times New Roman" w:hAnsi="Times New Roman" w:cs="Times New Roman"/>
          <w:sz w:val="24"/>
          <w:szCs w:val="24"/>
        </w:rPr>
      </w:pPr>
      <w:r w:rsidRPr="00B33DF5">
        <w:rPr>
          <w:rFonts w:ascii="Times New Roman" w:hAnsi="Times New Roman" w:cs="Times New Roman"/>
          <w:sz w:val="24"/>
          <w:szCs w:val="24"/>
        </w:rPr>
        <w:t xml:space="preserve">Any grading exceptions or appeals must be resolved in writing.  Late homework and missed quizzes or exams will be recorded with zero credit in the grade roster.  Special consideration of </w:t>
      </w:r>
      <w:r w:rsidRPr="00B33DF5">
        <w:rPr>
          <w:rFonts w:ascii="Times New Roman" w:hAnsi="Times New Roman" w:cs="Times New Roman"/>
          <w:sz w:val="24"/>
          <w:szCs w:val="24"/>
        </w:rPr>
        <w:lastRenderedPageBreak/>
        <w:t>truly unavoidable and extenuating circumstances will depend on expeditious timing and supporting documentation (e.g. doctor's note, jury summons, military orders).  In fairness to classmates who have more fully met requirements, any retroactive credit will be evaluated at the very end of the semester, in context with one's overall class performance and in relative comparison to all other cases class-wide.</w:t>
      </w:r>
    </w:p>
    <w:p w:rsidR="00E216D7" w:rsidRDefault="00E216D7" w:rsidP="00E216D7">
      <w:pPr>
        <w:pStyle w:val="Heading2"/>
      </w:pPr>
      <w:r>
        <w:t>University Policies</w:t>
      </w:r>
    </w:p>
    <w:p w:rsidR="00E216D7" w:rsidRPr="002C36F5" w:rsidRDefault="00E216D7" w:rsidP="00E216D7">
      <w:pPr>
        <w:pStyle w:val="Heading3"/>
      </w:pPr>
      <w:r>
        <w:t>Academic i</w:t>
      </w:r>
      <w:r w:rsidRPr="002C36F5">
        <w:t>ntegrity</w:t>
      </w:r>
    </w:p>
    <w:p w:rsidR="00E216D7" w:rsidRPr="008923F0" w:rsidRDefault="00E216D7" w:rsidP="00E216D7">
      <w:pPr>
        <w:pStyle w:val="BodyText"/>
        <w:rPr>
          <w:bCs/>
        </w:rPr>
      </w:pPr>
      <w:r>
        <w:t xml:space="preserve">Your </w:t>
      </w:r>
      <w:r w:rsidRPr="00E32D4E">
        <w:rPr>
          <w:bCs/>
        </w:rPr>
        <w:t>commi</w:t>
      </w:r>
      <w:r>
        <w:rPr>
          <w:bCs/>
        </w:rPr>
        <w:t>tm</w:t>
      </w:r>
      <w:r w:rsidRPr="00E32D4E">
        <w:rPr>
          <w:bCs/>
        </w:rPr>
        <w:t xml:space="preserve">ent </w:t>
      </w:r>
      <w:r>
        <w:rPr>
          <w:bCs/>
        </w:rPr>
        <w:t>as a student to learning i</w:t>
      </w:r>
      <w:r w:rsidRPr="00E32D4E">
        <w:rPr>
          <w:bCs/>
        </w:rPr>
        <w:t xml:space="preserve">s evidenced by </w:t>
      </w:r>
      <w:r>
        <w:rPr>
          <w:bCs/>
        </w:rPr>
        <w:t>your</w:t>
      </w:r>
      <w:r w:rsidRPr="00E32D4E">
        <w:rPr>
          <w:bCs/>
        </w:rPr>
        <w:t xml:space="preserve"> enrollment at </w:t>
      </w:r>
      <w:smartTag w:uri="urn:schemas-microsoft-com:office:smarttags" w:element="place">
        <w:smartTag w:uri="urn:schemas-microsoft-com:office:smarttags" w:element="PlaceName">
          <w:r w:rsidRPr="00E32D4E">
            <w:rPr>
              <w:bCs/>
            </w:rPr>
            <w:t>San Jose</w:t>
          </w:r>
        </w:smartTag>
        <w:r w:rsidRPr="00E32D4E">
          <w:rPr>
            <w:bCs/>
          </w:rPr>
          <w:t xml:space="preserve"> </w:t>
        </w:r>
        <w:smartTag w:uri="urn:schemas-microsoft-com:office:smarttags" w:element="PlaceType">
          <w:r w:rsidRPr="00E32D4E">
            <w:rPr>
              <w:bCs/>
            </w:rPr>
            <w:t>State</w:t>
          </w:r>
        </w:smartTag>
        <w:r w:rsidRPr="00E32D4E">
          <w:rPr>
            <w:bCs/>
          </w:rPr>
          <w:t xml:space="preserve"> </w:t>
        </w:r>
        <w:smartTag w:uri="urn:schemas-microsoft-com:office:smarttags" w:element="PlaceType">
          <w:r w:rsidRPr="00E32D4E">
            <w:rPr>
              <w:bCs/>
            </w:rPr>
            <w:t>University</w:t>
          </w:r>
        </w:smartTag>
      </w:smartTag>
      <w:r>
        <w:rPr>
          <w:bCs/>
        </w:rPr>
        <w:t xml:space="preserve">. </w:t>
      </w:r>
      <w:r w:rsidRPr="00E32D4E">
        <w:rPr>
          <w:bCs/>
        </w:rPr>
        <w:t xml:space="preserve"> </w:t>
      </w:r>
      <w:r>
        <w:rPr>
          <w:bCs/>
        </w:rPr>
        <w:t>The</w:t>
      </w:r>
      <w:r w:rsidRPr="00E32D4E">
        <w:rPr>
          <w:bCs/>
        </w:rPr>
        <w:t xml:space="preserve"> </w:t>
      </w:r>
      <w:hyperlink r:id="rId12" w:history="1">
        <w:r w:rsidRPr="00411924">
          <w:rPr>
            <w:rStyle w:val="Hyperlink"/>
            <w:bCs/>
          </w:rPr>
          <w:t>University’s Academic Integrity policy</w:t>
        </w:r>
      </w:hyperlink>
      <w:r w:rsidRPr="00E32D4E">
        <w:rPr>
          <w:bCs/>
        </w:rPr>
        <w:t xml:space="preserve">, </w:t>
      </w:r>
      <w:r>
        <w:rPr>
          <w:bCs/>
        </w:rPr>
        <w:t xml:space="preserve">located at </w:t>
      </w:r>
      <w:r w:rsidRPr="00411924">
        <w:rPr>
          <w:bCs/>
        </w:rPr>
        <w:t>http://www.sjsu.edu/senate/S07-2.htm</w:t>
      </w:r>
      <w:r>
        <w:rPr>
          <w:bCs/>
        </w:rPr>
        <w:t xml:space="preserve">, </w:t>
      </w:r>
      <w:r w:rsidRPr="00E32D4E">
        <w:rPr>
          <w:bCs/>
        </w:rPr>
        <w:t>require</w:t>
      </w:r>
      <w:r>
        <w:rPr>
          <w:bCs/>
        </w:rPr>
        <w:t xml:space="preserve">s </w:t>
      </w:r>
      <w:r w:rsidRPr="00E32D4E">
        <w:rPr>
          <w:bCs/>
        </w:rPr>
        <w:t xml:space="preserve">you to be honest in all your academic course work. Faculty members are required to report all infractions to the office of Student Conduct and Ethical </w:t>
      </w:r>
      <w:r>
        <w:rPr>
          <w:bCs/>
        </w:rPr>
        <w:t>D</w:t>
      </w:r>
      <w:r w:rsidRPr="00E32D4E">
        <w:rPr>
          <w:bCs/>
        </w:rPr>
        <w:t>evelopment</w:t>
      </w:r>
      <w:r>
        <w:rPr>
          <w:bCs/>
        </w:rPr>
        <w:t xml:space="preserve">. The </w:t>
      </w:r>
      <w:hyperlink r:id="rId13" w:history="1">
        <w:r w:rsidRPr="00F61B7F">
          <w:rPr>
            <w:rStyle w:val="Hyperlink"/>
            <w:bCs/>
          </w:rPr>
          <w:t>Student Conduct and Ethical Development website</w:t>
        </w:r>
      </w:hyperlink>
      <w:r>
        <w:rPr>
          <w:bCs/>
        </w:rPr>
        <w:t xml:space="preserve"> </w:t>
      </w:r>
      <w:r w:rsidRPr="00F61B7F">
        <w:rPr>
          <w:bCs/>
        </w:rPr>
        <w:t>is available at http://www.sa.sjsu.edu/judicial_affairs/index.html</w:t>
      </w:r>
      <w:r>
        <w:rPr>
          <w:bCs/>
        </w:rPr>
        <w:t xml:space="preserve">. </w:t>
      </w:r>
    </w:p>
    <w:p w:rsidR="00E216D7" w:rsidRPr="00571559" w:rsidRDefault="00E216D7" w:rsidP="00E216D7">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w:t>
      </w:r>
      <w:r>
        <w:rPr>
          <w:bCs/>
        </w:rPr>
        <w:t>ld like to include</w:t>
      </w:r>
      <w:r w:rsidRPr="00E32D4E">
        <w:rPr>
          <w:bCs/>
        </w:rPr>
        <w:t xml:space="preserve"> your assignment </w:t>
      </w:r>
      <w:r>
        <w:rPr>
          <w:bCs/>
        </w:rPr>
        <w:t xml:space="preserve">or </w:t>
      </w:r>
      <w:r w:rsidRPr="00E32D4E">
        <w:rPr>
          <w:bCs/>
        </w:rPr>
        <w:t>any material you have submitted, or plan to submit for another class, please note t</w:t>
      </w:r>
      <w:r>
        <w:rPr>
          <w:bCs/>
        </w:rPr>
        <w:t>hat SJSU’s Academic Policy S07-2</w:t>
      </w:r>
      <w:r w:rsidRPr="00E32D4E">
        <w:rPr>
          <w:bCs/>
        </w:rPr>
        <w:t xml:space="preserve"> re</w:t>
      </w:r>
      <w:r>
        <w:rPr>
          <w:bCs/>
        </w:rPr>
        <w:t>quires approval of instructors.</w:t>
      </w:r>
    </w:p>
    <w:p w:rsidR="00E216D7" w:rsidRPr="002C36F5" w:rsidRDefault="00E216D7" w:rsidP="00E216D7">
      <w:pPr>
        <w:pStyle w:val="Heading3"/>
      </w:pPr>
      <w:r>
        <w:t>Campus Policy in Compliance with the American Disabilities Act</w:t>
      </w:r>
    </w:p>
    <w:p w:rsidR="00E216D7" w:rsidRPr="00986C70" w:rsidRDefault="00E216D7" w:rsidP="00E216D7">
      <w:pPr>
        <w:pStyle w:val="Heading2"/>
        <w:spacing w:before="0"/>
        <w:rPr>
          <w:rFonts w:ascii="Times New Roman" w:hAnsi="Times New Roman" w:cs="Times New Roman"/>
          <w:b w:val="0"/>
        </w:rPr>
      </w:pPr>
      <w:r w:rsidRPr="00986C70">
        <w:rPr>
          <w:rFonts w:ascii="Times New Roman" w:hAnsi="Times New Roman" w:cs="Times New Roman"/>
          <w:b w:val="0"/>
        </w:rP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hyperlink r:id="rId14" w:history="1">
        <w:r w:rsidRPr="00986C70">
          <w:rPr>
            <w:rStyle w:val="Hyperlink"/>
            <w:b w:val="0"/>
          </w:rPr>
          <w:t>Disability Resource Center</w:t>
        </w:r>
      </w:hyperlink>
      <w:r w:rsidRPr="00986C70">
        <w:rPr>
          <w:rFonts w:ascii="Times New Roman" w:hAnsi="Times New Roman" w:cs="Times New Roman"/>
          <w:b w:val="0"/>
        </w:rPr>
        <w:t xml:space="preserve"> (DRC) at http://www.drc.sjsu.edu/ to establish a record of their disability.</w:t>
      </w:r>
    </w:p>
    <w:p w:rsidR="00E216D7" w:rsidRDefault="00E216D7" w:rsidP="00E216D7">
      <w:pPr>
        <w:pStyle w:val="Heading2"/>
      </w:pPr>
      <w:r>
        <w:t xml:space="preserve">Student Technology Resources </w:t>
      </w:r>
    </w:p>
    <w:p w:rsidR="00E216D7" w:rsidRPr="00571559" w:rsidRDefault="00E216D7" w:rsidP="00E216D7">
      <w:r w:rsidRPr="00571559">
        <w:t xml:space="preserve">Computer labs for student use are available in the </w:t>
      </w:r>
      <w:smartTag w:uri="urn:schemas-microsoft-com:office:smarttags" w:element="place">
        <w:smartTag w:uri="urn:schemas-microsoft-com:office:smarttags" w:element="PlaceName">
          <w:r w:rsidRPr="00571559">
            <w:t>Academic</w:t>
          </w:r>
        </w:smartTag>
        <w:r w:rsidRPr="00571559">
          <w:t xml:space="preserve"> </w:t>
        </w:r>
        <w:smartTag w:uri="urn:schemas-microsoft-com:office:smarttags" w:element="PlaceName">
          <w:r w:rsidRPr="00571559">
            <w:t>Success</w:t>
          </w:r>
        </w:smartTag>
        <w:r w:rsidRPr="00571559">
          <w:t xml:space="preserve"> </w:t>
        </w:r>
        <w:smartTag w:uri="urn:schemas-microsoft-com:office:smarttags" w:element="PlaceType">
          <w:r w:rsidRPr="00571559">
            <w:t>Center</w:t>
          </w:r>
        </w:smartTag>
      </w:smartTag>
      <w:r w:rsidRPr="00571559">
        <w:t xml:space="preserve"> located on the </w:t>
      </w:r>
      <w:bookmarkStart w:id="0" w:name="OLE_LINK1"/>
      <w:bookmarkStart w:id="1" w:name="OLE_LINK2"/>
      <w:r w:rsidRPr="00571559">
        <w:t>1</w:t>
      </w:r>
      <w:r w:rsidRPr="00571559">
        <w:rPr>
          <w:vertAlign w:val="superscript"/>
        </w:rPr>
        <w:t>st</w:t>
      </w:r>
      <w:r w:rsidRPr="00571559">
        <w:t xml:space="preserve"> </w:t>
      </w:r>
      <w:bookmarkEnd w:id="0"/>
      <w:bookmarkEnd w:id="1"/>
      <w:r w:rsidRPr="00571559">
        <w:t>floor of Clark Hall and on the 2</w:t>
      </w:r>
      <w:r w:rsidRPr="00571559">
        <w:rPr>
          <w:vertAlign w:val="superscript"/>
        </w:rPr>
        <w:t>nd</w:t>
      </w:r>
      <w:r w:rsidRPr="00571559">
        <w:t xml:space="preserve"> floor of the Student Union. </w:t>
      </w:r>
      <w:r>
        <w:t xml:space="preserve"> A computer lab in E213/215 are available to students in the MAE department</w:t>
      </w:r>
      <w:r w:rsidRPr="00571559">
        <w:t>. Computers are also available in the Martin Luther King Library.</w:t>
      </w:r>
    </w:p>
    <w:p w:rsidR="00E216D7" w:rsidRPr="00577701" w:rsidRDefault="00E216D7" w:rsidP="00E216D7">
      <w:pPr>
        <w:pStyle w:val="Heading2"/>
        <w:rPr>
          <w:szCs w:val="36"/>
        </w:rPr>
      </w:pPr>
      <w:r>
        <w:rPr>
          <w:szCs w:val="36"/>
        </w:rPr>
        <w:t xml:space="preserve">SJSU Writing Center </w:t>
      </w:r>
    </w:p>
    <w:p w:rsidR="00E216D7" w:rsidRDefault="00E216D7" w:rsidP="00E216D7">
      <w:pPr>
        <w:pStyle w:val="BodyText"/>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r w:rsidRPr="00F61B7F">
        <w:t xml:space="preserve">The </w:t>
      </w:r>
      <w:hyperlink r:id="rId15" w:history="1">
        <w:r w:rsidRPr="00F61B7F">
          <w:rPr>
            <w:rStyle w:val="Hyperlink"/>
          </w:rPr>
          <w:t>Writing Center website</w:t>
        </w:r>
      </w:hyperlink>
      <w:r w:rsidRPr="00F61B7F">
        <w:t xml:space="preserve"> is located at http://www.sjsu.edu/writingcenter/about/staff/</w:t>
      </w:r>
      <w:r>
        <w:t>.</w:t>
      </w:r>
    </w:p>
    <w:p w:rsidR="00F12A20" w:rsidRDefault="00E216D7" w:rsidP="00AD1406">
      <w:pPr>
        <w:spacing w:before="54" w:after="0" w:line="240" w:lineRule="auto"/>
        <w:ind w:left="2506" w:right="2548"/>
        <w:jc w:val="center"/>
        <w:rPr>
          <w:rFonts w:ascii="Times New Roman" w:eastAsia="Times New Roman" w:hAnsi="Times New Roman" w:cs="Times New Roman"/>
          <w:sz w:val="24"/>
          <w:szCs w:val="24"/>
        </w:rPr>
      </w:pPr>
      <w:r>
        <w:br w:type="page"/>
      </w:r>
    </w:p>
    <w:p w:rsidR="00F12A20" w:rsidRDefault="00F12A20">
      <w:pPr>
        <w:spacing w:after="0"/>
        <w:sectPr w:rsidR="00F12A20" w:rsidSect="00162DB0">
          <w:footerReference w:type="default" r:id="rId16"/>
          <w:pgSz w:w="12240" w:h="15840"/>
          <w:pgMar w:top="1440" w:right="1440" w:bottom="1440" w:left="1440" w:header="0" w:footer="706" w:gutter="0"/>
          <w:cols w:space="720"/>
        </w:sectPr>
      </w:pPr>
    </w:p>
    <w:p w:rsidR="00F12A20" w:rsidRDefault="00842654">
      <w:pPr>
        <w:spacing w:before="54" w:after="0" w:line="240" w:lineRule="auto"/>
        <w:ind w:left="3040" w:right="-20"/>
        <w:rPr>
          <w:rFonts w:ascii="Arial" w:eastAsia="Arial" w:hAnsi="Arial" w:cs="Arial"/>
          <w:sz w:val="32"/>
          <w:szCs w:val="32"/>
        </w:rPr>
      </w:pPr>
      <w:r>
        <w:rPr>
          <w:rFonts w:ascii="Arial" w:eastAsia="Arial" w:hAnsi="Arial" w:cs="Arial"/>
          <w:b/>
          <w:bCs/>
          <w:spacing w:val="-24"/>
          <w:sz w:val="32"/>
          <w:szCs w:val="32"/>
          <w:u w:val="thick" w:color="000000"/>
        </w:rPr>
        <w:lastRenderedPageBreak/>
        <w:t>T</w:t>
      </w:r>
      <w:r>
        <w:rPr>
          <w:rFonts w:ascii="Arial" w:eastAsia="Arial" w:hAnsi="Arial" w:cs="Arial"/>
          <w:b/>
          <w:bCs/>
          <w:spacing w:val="-1"/>
          <w:sz w:val="32"/>
          <w:szCs w:val="32"/>
          <w:u w:val="thick" w:color="000000"/>
        </w:rPr>
        <w:t>e</w:t>
      </w:r>
      <w:r>
        <w:rPr>
          <w:rFonts w:ascii="Arial" w:eastAsia="Arial" w:hAnsi="Arial" w:cs="Arial"/>
          <w:b/>
          <w:bCs/>
          <w:sz w:val="32"/>
          <w:szCs w:val="32"/>
          <w:u w:val="thick" w:color="000000"/>
        </w:rPr>
        <w:t>n</w:t>
      </w:r>
      <w:r>
        <w:rPr>
          <w:rFonts w:ascii="Arial" w:eastAsia="Arial" w:hAnsi="Arial" w:cs="Arial"/>
          <w:b/>
          <w:bCs/>
          <w:spacing w:val="-8"/>
          <w:sz w:val="32"/>
          <w:szCs w:val="32"/>
          <w:u w:val="thick" w:color="000000"/>
        </w:rPr>
        <w:t>t</w:t>
      </w:r>
      <w:r>
        <w:rPr>
          <w:rFonts w:ascii="Arial" w:eastAsia="Arial" w:hAnsi="Arial" w:cs="Arial"/>
          <w:b/>
          <w:bCs/>
          <w:sz w:val="32"/>
          <w:szCs w:val="32"/>
          <w:u w:val="thick" w:color="000000"/>
        </w:rPr>
        <w:t xml:space="preserve">ative </w:t>
      </w:r>
      <w:r>
        <w:rPr>
          <w:rFonts w:ascii="Arial" w:eastAsia="Arial" w:hAnsi="Arial" w:cs="Arial"/>
          <w:b/>
          <w:bCs/>
          <w:spacing w:val="-24"/>
          <w:sz w:val="32"/>
          <w:szCs w:val="32"/>
          <w:u w:val="thick" w:color="000000"/>
        </w:rPr>
        <w:t>T</w:t>
      </w:r>
      <w:r>
        <w:rPr>
          <w:rFonts w:ascii="Arial" w:eastAsia="Arial" w:hAnsi="Arial" w:cs="Arial"/>
          <w:b/>
          <w:bCs/>
          <w:sz w:val="32"/>
          <w:szCs w:val="32"/>
          <w:u w:val="thick" w:color="000000"/>
        </w:rPr>
        <w:t>opics and Schedule</w:t>
      </w:r>
    </w:p>
    <w:p w:rsidR="00F12A20" w:rsidRDefault="00F12A20">
      <w:pPr>
        <w:spacing w:before="7" w:after="0" w:line="160" w:lineRule="exact"/>
        <w:rPr>
          <w:sz w:val="16"/>
          <w:szCs w:val="16"/>
        </w:rPr>
      </w:pPr>
    </w:p>
    <w:p w:rsidR="00F12A20" w:rsidRDefault="00F12A20">
      <w:pPr>
        <w:spacing w:after="0" w:line="200" w:lineRule="exact"/>
        <w:rPr>
          <w:sz w:val="20"/>
          <w:szCs w:val="20"/>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6912"/>
      </w:tblGrid>
      <w:tr w:rsidR="00AD1406" w:rsidRPr="00AD1406" w:rsidTr="00AD1406">
        <w:trPr>
          <w:trHeight w:val="626"/>
          <w:tblHeader/>
          <w:jc w:val="center"/>
        </w:trPr>
        <w:tc>
          <w:tcPr>
            <w:tcW w:w="864" w:type="dxa"/>
          </w:tcPr>
          <w:p w:rsidR="00AD1406" w:rsidRPr="00AD1406" w:rsidRDefault="00AD1406" w:rsidP="00AD1406">
            <w:pPr>
              <w:pStyle w:val="contactheading"/>
              <w:spacing w:before="0" w:after="0"/>
              <w:jc w:val="center"/>
              <w:rPr>
                <w:rFonts w:cs="Times New Roman"/>
                <w:sz w:val="22"/>
                <w:szCs w:val="22"/>
              </w:rPr>
            </w:pPr>
            <w:r w:rsidRPr="00AD1406">
              <w:rPr>
                <w:rFonts w:cs="Times New Roman"/>
                <w:sz w:val="22"/>
                <w:szCs w:val="22"/>
              </w:rPr>
              <w:t>Week</w:t>
            </w:r>
          </w:p>
        </w:tc>
        <w:tc>
          <w:tcPr>
            <w:tcW w:w="1440" w:type="dxa"/>
          </w:tcPr>
          <w:p w:rsidR="00AD1406" w:rsidRPr="00AD1406" w:rsidRDefault="00AD1406" w:rsidP="00AD1406">
            <w:pPr>
              <w:pStyle w:val="contactheading"/>
              <w:spacing w:before="0" w:after="0"/>
              <w:jc w:val="center"/>
              <w:rPr>
                <w:rFonts w:cs="Times New Roman"/>
                <w:sz w:val="22"/>
                <w:szCs w:val="22"/>
              </w:rPr>
            </w:pPr>
            <w:r w:rsidRPr="00AD1406">
              <w:rPr>
                <w:rFonts w:cs="Times New Roman"/>
                <w:sz w:val="22"/>
                <w:szCs w:val="22"/>
              </w:rPr>
              <w:t>Date</w:t>
            </w:r>
          </w:p>
        </w:tc>
        <w:tc>
          <w:tcPr>
            <w:tcW w:w="6912" w:type="dxa"/>
          </w:tcPr>
          <w:p w:rsidR="00AD1406" w:rsidRPr="00AD1406" w:rsidRDefault="00AD1406" w:rsidP="00AD1406">
            <w:pPr>
              <w:pStyle w:val="contactheading"/>
              <w:spacing w:before="0" w:after="0"/>
              <w:jc w:val="center"/>
              <w:rPr>
                <w:rFonts w:cs="Times New Roman"/>
                <w:sz w:val="22"/>
                <w:szCs w:val="22"/>
              </w:rPr>
            </w:pPr>
            <w:r w:rsidRPr="00AD1406">
              <w:rPr>
                <w:rFonts w:cs="Times New Roman"/>
                <w:sz w:val="22"/>
                <w:szCs w:val="22"/>
              </w:rPr>
              <w:t>Topics, Readings, Assignments, Deadlines</w:t>
            </w:r>
          </w:p>
        </w:tc>
      </w:tr>
      <w:tr w:rsidR="00AD1406" w:rsidRPr="00AD1406" w:rsidTr="00AD1406">
        <w:trPr>
          <w:jc w:val="center"/>
        </w:trPr>
        <w:tc>
          <w:tcPr>
            <w:tcW w:w="864" w:type="dxa"/>
            <w:tcBorders>
              <w:bottom w:val="single" w:sz="4" w:space="0" w:color="auto"/>
            </w:tcBorders>
          </w:tcPr>
          <w:p w:rsidR="00AD1406" w:rsidRPr="00AD1406" w:rsidRDefault="00AD1406" w:rsidP="00AD1406">
            <w:pPr>
              <w:pStyle w:val="Tabletext"/>
              <w:spacing w:before="0" w:after="0"/>
              <w:rPr>
                <w:sz w:val="22"/>
                <w:szCs w:val="22"/>
              </w:rPr>
            </w:pPr>
            <w:r w:rsidRPr="00AD1406">
              <w:rPr>
                <w:sz w:val="22"/>
                <w:szCs w:val="22"/>
              </w:rPr>
              <w:t>1</w:t>
            </w:r>
          </w:p>
        </w:tc>
        <w:tc>
          <w:tcPr>
            <w:tcW w:w="1440" w:type="dxa"/>
            <w:tcBorders>
              <w:bottom w:val="single" w:sz="4" w:space="0" w:color="auto"/>
            </w:tcBorders>
          </w:tcPr>
          <w:p w:rsidR="00AD1406" w:rsidRPr="00AD1406" w:rsidRDefault="00AD1406" w:rsidP="00AD1406">
            <w:pPr>
              <w:pStyle w:val="Tabletext"/>
              <w:spacing w:before="0" w:after="0"/>
              <w:rPr>
                <w:sz w:val="22"/>
                <w:szCs w:val="22"/>
              </w:rPr>
            </w:pPr>
            <w:r w:rsidRPr="00AD1406">
              <w:rPr>
                <w:sz w:val="22"/>
                <w:szCs w:val="22"/>
              </w:rPr>
              <w:t>1/23</w:t>
            </w:r>
          </w:p>
        </w:tc>
        <w:tc>
          <w:tcPr>
            <w:tcW w:w="6912" w:type="dxa"/>
            <w:tcBorders>
              <w:bottom w:val="single" w:sz="4" w:space="0" w:color="auto"/>
            </w:tcBorders>
          </w:tcPr>
          <w:p w:rsidR="00AD1406" w:rsidRPr="00AD1406" w:rsidRDefault="00AD1406" w:rsidP="00AD1406">
            <w:pPr>
              <w:pStyle w:val="Tabletext"/>
              <w:spacing w:before="0" w:after="0"/>
              <w:rPr>
                <w:sz w:val="22"/>
                <w:szCs w:val="22"/>
              </w:rPr>
            </w:pPr>
            <w:r w:rsidRPr="00AD1406">
              <w:rPr>
                <w:sz w:val="22"/>
                <w:szCs w:val="22"/>
              </w:rPr>
              <w:t xml:space="preserve">Introduction, Syllabus/greensheet, </w:t>
            </w:r>
            <w:r>
              <w:rPr>
                <w:sz w:val="22"/>
                <w:szCs w:val="22"/>
              </w:rPr>
              <w:t>Overview of conduction, convection, radiation</w:t>
            </w:r>
          </w:p>
        </w:tc>
      </w:tr>
      <w:tr w:rsidR="00AD1406" w:rsidRPr="00AD1406" w:rsidTr="00AD1406">
        <w:trPr>
          <w:jc w:val="center"/>
        </w:trPr>
        <w:tc>
          <w:tcPr>
            <w:tcW w:w="864" w:type="dxa"/>
          </w:tcPr>
          <w:p w:rsidR="00AD1406" w:rsidRPr="00AD1406" w:rsidRDefault="00AD1406" w:rsidP="00AD1406">
            <w:pPr>
              <w:pStyle w:val="Tabletext"/>
              <w:spacing w:before="0" w:after="0"/>
              <w:rPr>
                <w:sz w:val="22"/>
                <w:szCs w:val="22"/>
              </w:rPr>
            </w:pPr>
            <w:r w:rsidRPr="00AD1406">
              <w:rPr>
                <w:sz w:val="22"/>
                <w:szCs w:val="22"/>
              </w:rPr>
              <w:t>2</w:t>
            </w:r>
          </w:p>
          <w:p w:rsidR="00AD1406" w:rsidRPr="00AD1406" w:rsidRDefault="00AD1406" w:rsidP="00AD1406">
            <w:pPr>
              <w:spacing w:after="0"/>
              <w:rPr>
                <w:rFonts w:ascii="Times New Roman" w:hAnsi="Times New Roman" w:cs="Times New Roman"/>
              </w:rPr>
            </w:pPr>
          </w:p>
        </w:tc>
        <w:tc>
          <w:tcPr>
            <w:tcW w:w="1440" w:type="dxa"/>
          </w:tcPr>
          <w:p w:rsidR="00AD1406" w:rsidRPr="00AD1406" w:rsidRDefault="00AD1406" w:rsidP="00AD1406">
            <w:pPr>
              <w:pStyle w:val="Tabletext"/>
              <w:spacing w:before="0" w:after="0"/>
              <w:rPr>
                <w:sz w:val="22"/>
                <w:szCs w:val="22"/>
              </w:rPr>
            </w:pPr>
            <w:r w:rsidRPr="00AD1406">
              <w:rPr>
                <w:sz w:val="22"/>
                <w:szCs w:val="22"/>
              </w:rPr>
              <w:t>1/28, 1/30</w:t>
            </w:r>
          </w:p>
        </w:tc>
        <w:tc>
          <w:tcPr>
            <w:tcW w:w="6912" w:type="dxa"/>
          </w:tcPr>
          <w:p w:rsidR="00AD1406" w:rsidRDefault="00AD1406" w:rsidP="00AD1406">
            <w:pPr>
              <w:spacing w:after="0"/>
              <w:rPr>
                <w:rFonts w:ascii="Times New Roman" w:hAnsi="Times New Roman" w:cs="Times New Roman"/>
              </w:rPr>
            </w:pPr>
            <w:r>
              <w:rPr>
                <w:rFonts w:ascii="Times New Roman" w:hAnsi="Times New Roman" w:cs="Times New Roman"/>
              </w:rPr>
              <w:t>Exam 1 – Undergraduate heat transfer topics</w:t>
            </w:r>
          </w:p>
          <w:p w:rsidR="00AD1406" w:rsidRPr="00AD1406" w:rsidRDefault="00532FD1" w:rsidP="00532FD1">
            <w:pPr>
              <w:spacing w:after="0"/>
              <w:rPr>
                <w:rFonts w:ascii="Times New Roman" w:hAnsi="Times New Roman" w:cs="Times New Roman"/>
              </w:rPr>
            </w:pPr>
            <w:r>
              <w:rPr>
                <w:rFonts w:ascii="Times New Roman" w:hAnsi="Times New Roman" w:cs="Times New Roman"/>
              </w:rPr>
              <w:t>Fourier’s law and heat conduction equation (Ch. 2, Cengel and Ghajar)</w:t>
            </w:r>
          </w:p>
        </w:tc>
      </w:tr>
      <w:tr w:rsidR="00AD1406" w:rsidRPr="00AD1406" w:rsidTr="00AD1406">
        <w:trPr>
          <w:jc w:val="center"/>
        </w:trPr>
        <w:tc>
          <w:tcPr>
            <w:tcW w:w="864" w:type="dxa"/>
          </w:tcPr>
          <w:p w:rsidR="00AD1406" w:rsidRPr="00AD1406" w:rsidRDefault="00AD1406" w:rsidP="00AD1406">
            <w:pPr>
              <w:pStyle w:val="Tabletext"/>
              <w:spacing w:before="0" w:after="0"/>
              <w:rPr>
                <w:sz w:val="22"/>
                <w:szCs w:val="22"/>
              </w:rPr>
            </w:pPr>
            <w:r w:rsidRPr="00AD1406">
              <w:rPr>
                <w:sz w:val="22"/>
                <w:szCs w:val="22"/>
              </w:rPr>
              <w:t>3</w:t>
            </w:r>
          </w:p>
          <w:p w:rsidR="00AD1406" w:rsidRPr="00AD1406" w:rsidRDefault="00AD1406" w:rsidP="00AD1406">
            <w:pPr>
              <w:spacing w:after="0"/>
              <w:rPr>
                <w:rFonts w:ascii="Times New Roman" w:hAnsi="Times New Roman" w:cs="Times New Roman"/>
              </w:rPr>
            </w:pPr>
          </w:p>
        </w:tc>
        <w:tc>
          <w:tcPr>
            <w:tcW w:w="1440" w:type="dxa"/>
          </w:tcPr>
          <w:p w:rsidR="00AD1406" w:rsidRPr="00AD1406" w:rsidRDefault="00AD1406" w:rsidP="00AD1406">
            <w:pPr>
              <w:pStyle w:val="Tabletext"/>
              <w:spacing w:before="0" w:after="0"/>
              <w:rPr>
                <w:sz w:val="22"/>
                <w:szCs w:val="22"/>
              </w:rPr>
            </w:pPr>
            <w:r w:rsidRPr="00AD1406">
              <w:rPr>
                <w:sz w:val="22"/>
                <w:szCs w:val="22"/>
              </w:rPr>
              <w:t>2/4, 2/6</w:t>
            </w:r>
          </w:p>
        </w:tc>
        <w:tc>
          <w:tcPr>
            <w:tcW w:w="6912" w:type="dxa"/>
          </w:tcPr>
          <w:p w:rsidR="00AD1406" w:rsidRPr="00AD1406" w:rsidRDefault="00532FD1" w:rsidP="00AD1406">
            <w:pPr>
              <w:spacing w:after="0"/>
              <w:rPr>
                <w:rFonts w:ascii="Times New Roman" w:hAnsi="Times New Roman" w:cs="Times New Roman"/>
              </w:rPr>
            </w:pPr>
            <w:r>
              <w:rPr>
                <w:rFonts w:ascii="Times New Roman" w:hAnsi="Times New Roman" w:cs="Times New Roman"/>
              </w:rPr>
              <w:t>Transient (Ch. 4, Cengel and Ghajar) and multidimensional conduction (Ch. 3, Cengel and Ghajar); Flow over flat plates, cylinders, spheres (7.1-7.3, Cengel and Ghajar)</w:t>
            </w:r>
          </w:p>
        </w:tc>
      </w:tr>
      <w:tr w:rsidR="00AD1406" w:rsidRPr="00AD1406" w:rsidTr="00AD1406">
        <w:trPr>
          <w:jc w:val="center"/>
        </w:trPr>
        <w:tc>
          <w:tcPr>
            <w:tcW w:w="864" w:type="dxa"/>
          </w:tcPr>
          <w:p w:rsidR="00AD1406" w:rsidRPr="00AD1406" w:rsidRDefault="00AD1406" w:rsidP="00AD1406">
            <w:pPr>
              <w:pStyle w:val="Tabletext"/>
              <w:spacing w:before="0" w:after="0"/>
              <w:rPr>
                <w:sz w:val="22"/>
                <w:szCs w:val="22"/>
              </w:rPr>
            </w:pPr>
            <w:r w:rsidRPr="00AD1406">
              <w:rPr>
                <w:sz w:val="22"/>
                <w:szCs w:val="22"/>
              </w:rPr>
              <w:t>4</w:t>
            </w:r>
          </w:p>
          <w:p w:rsidR="00AD1406" w:rsidRPr="00AD1406" w:rsidRDefault="00AD1406" w:rsidP="00AD1406">
            <w:pPr>
              <w:spacing w:after="0"/>
              <w:rPr>
                <w:rFonts w:ascii="Times New Roman" w:hAnsi="Times New Roman" w:cs="Times New Roman"/>
              </w:rPr>
            </w:pPr>
          </w:p>
        </w:tc>
        <w:tc>
          <w:tcPr>
            <w:tcW w:w="1440" w:type="dxa"/>
          </w:tcPr>
          <w:p w:rsidR="00AD1406" w:rsidRPr="00AD1406" w:rsidRDefault="00AD1406" w:rsidP="00AD1406">
            <w:pPr>
              <w:pStyle w:val="Tabletext"/>
              <w:spacing w:before="0" w:after="0"/>
              <w:rPr>
                <w:sz w:val="22"/>
                <w:szCs w:val="22"/>
              </w:rPr>
            </w:pPr>
            <w:r w:rsidRPr="00AD1406">
              <w:rPr>
                <w:sz w:val="22"/>
                <w:szCs w:val="22"/>
              </w:rPr>
              <w:t>2/11, 2/13</w:t>
            </w:r>
          </w:p>
        </w:tc>
        <w:tc>
          <w:tcPr>
            <w:tcW w:w="6912" w:type="dxa"/>
          </w:tcPr>
          <w:p w:rsidR="00AD1406" w:rsidRPr="00AD1406" w:rsidRDefault="00532FD1" w:rsidP="00AD1406">
            <w:pPr>
              <w:spacing w:after="0"/>
              <w:rPr>
                <w:rFonts w:ascii="Times New Roman" w:hAnsi="Times New Roman" w:cs="Times New Roman"/>
              </w:rPr>
            </w:pPr>
            <w:r>
              <w:rPr>
                <w:rFonts w:ascii="Times New Roman" w:hAnsi="Times New Roman" w:cs="Times New Roman"/>
              </w:rPr>
              <w:t>Internal Flow (8.1-8.6, Cengel and Ghajar), Natural Convection (Ch. 9, Cengel and Ghajar)</w:t>
            </w:r>
          </w:p>
        </w:tc>
      </w:tr>
      <w:tr w:rsidR="00AD1406" w:rsidRPr="00AD1406" w:rsidTr="00AD1406">
        <w:trPr>
          <w:jc w:val="center"/>
        </w:trPr>
        <w:tc>
          <w:tcPr>
            <w:tcW w:w="864" w:type="dxa"/>
            <w:tcBorders>
              <w:bottom w:val="single" w:sz="4" w:space="0" w:color="auto"/>
            </w:tcBorders>
          </w:tcPr>
          <w:p w:rsidR="00AD1406" w:rsidRPr="00AD1406" w:rsidRDefault="00AD1406" w:rsidP="00AD1406">
            <w:pPr>
              <w:pStyle w:val="Tabletext"/>
              <w:spacing w:before="0" w:after="0"/>
              <w:rPr>
                <w:sz w:val="22"/>
                <w:szCs w:val="22"/>
              </w:rPr>
            </w:pPr>
            <w:r w:rsidRPr="00AD1406">
              <w:rPr>
                <w:sz w:val="22"/>
                <w:szCs w:val="22"/>
              </w:rPr>
              <w:t>5</w:t>
            </w:r>
          </w:p>
          <w:p w:rsidR="00AD1406" w:rsidRPr="00AD1406" w:rsidRDefault="00AD1406" w:rsidP="00AD1406">
            <w:pPr>
              <w:spacing w:after="0"/>
              <w:rPr>
                <w:rFonts w:ascii="Times New Roman" w:hAnsi="Times New Roman" w:cs="Times New Roman"/>
              </w:rPr>
            </w:pPr>
          </w:p>
        </w:tc>
        <w:tc>
          <w:tcPr>
            <w:tcW w:w="1440" w:type="dxa"/>
            <w:tcBorders>
              <w:bottom w:val="single" w:sz="4" w:space="0" w:color="auto"/>
            </w:tcBorders>
          </w:tcPr>
          <w:p w:rsidR="00AD1406" w:rsidRPr="00AD1406" w:rsidRDefault="00AD1406" w:rsidP="00AD1406">
            <w:pPr>
              <w:pStyle w:val="Tabletext"/>
              <w:spacing w:before="0" w:after="0"/>
              <w:rPr>
                <w:sz w:val="22"/>
                <w:szCs w:val="22"/>
              </w:rPr>
            </w:pPr>
            <w:r w:rsidRPr="00AD1406">
              <w:rPr>
                <w:sz w:val="22"/>
                <w:szCs w:val="22"/>
              </w:rPr>
              <w:t>2/18, 2/20</w:t>
            </w:r>
          </w:p>
        </w:tc>
        <w:tc>
          <w:tcPr>
            <w:tcW w:w="6912" w:type="dxa"/>
            <w:tcBorders>
              <w:bottom w:val="single" w:sz="4" w:space="0" w:color="auto"/>
            </w:tcBorders>
          </w:tcPr>
          <w:p w:rsidR="00AD1406" w:rsidRPr="00AD1406" w:rsidRDefault="00532FD1" w:rsidP="00AD1406">
            <w:pPr>
              <w:spacing w:after="0"/>
              <w:rPr>
                <w:rFonts w:ascii="Times New Roman" w:hAnsi="Times New Roman" w:cs="Times New Roman"/>
              </w:rPr>
            </w:pPr>
            <w:r>
              <w:rPr>
                <w:rFonts w:ascii="Times New Roman" w:hAnsi="Times New Roman" w:cs="Times New Roman"/>
              </w:rPr>
              <w:t>Radiation (Ch. 12, Ch. 13, Cengel and Ghajar)</w:t>
            </w:r>
          </w:p>
        </w:tc>
      </w:tr>
      <w:tr w:rsidR="00903C67" w:rsidRPr="00AD1406" w:rsidTr="00AD1406">
        <w:trPr>
          <w:jc w:val="center"/>
        </w:trPr>
        <w:tc>
          <w:tcPr>
            <w:tcW w:w="864" w:type="dxa"/>
          </w:tcPr>
          <w:p w:rsidR="00903C67" w:rsidRPr="00AD1406" w:rsidRDefault="00903C67" w:rsidP="00AD1406">
            <w:pPr>
              <w:pStyle w:val="Tabletext"/>
              <w:spacing w:before="0" w:after="0"/>
              <w:rPr>
                <w:sz w:val="22"/>
                <w:szCs w:val="22"/>
              </w:rPr>
            </w:pPr>
            <w:r w:rsidRPr="00AD1406">
              <w:rPr>
                <w:sz w:val="22"/>
                <w:szCs w:val="22"/>
              </w:rPr>
              <w:t>6</w:t>
            </w:r>
          </w:p>
          <w:p w:rsidR="00903C67" w:rsidRPr="00AD1406" w:rsidRDefault="00903C67" w:rsidP="00AD1406">
            <w:pPr>
              <w:spacing w:after="0"/>
              <w:rPr>
                <w:rFonts w:ascii="Times New Roman" w:hAnsi="Times New Roman" w:cs="Times New Roman"/>
              </w:rPr>
            </w:pPr>
          </w:p>
        </w:tc>
        <w:tc>
          <w:tcPr>
            <w:tcW w:w="1440" w:type="dxa"/>
          </w:tcPr>
          <w:p w:rsidR="00903C67" w:rsidRPr="00AD1406" w:rsidRDefault="00903C67" w:rsidP="00AD1406">
            <w:pPr>
              <w:pStyle w:val="Tabletext"/>
              <w:spacing w:before="0" w:after="0"/>
              <w:rPr>
                <w:sz w:val="22"/>
                <w:szCs w:val="22"/>
              </w:rPr>
            </w:pPr>
            <w:r w:rsidRPr="00AD1406">
              <w:rPr>
                <w:sz w:val="22"/>
                <w:szCs w:val="22"/>
              </w:rPr>
              <w:t>2/25, 2/27</w:t>
            </w:r>
          </w:p>
        </w:tc>
        <w:tc>
          <w:tcPr>
            <w:tcW w:w="6912" w:type="dxa"/>
          </w:tcPr>
          <w:p w:rsidR="00903C67" w:rsidRPr="00903C67" w:rsidRDefault="00903C67" w:rsidP="00903C67">
            <w:pPr>
              <w:pStyle w:val="Tabletext"/>
              <w:spacing w:before="0" w:after="0"/>
              <w:rPr>
                <w:b/>
                <w:sz w:val="22"/>
                <w:szCs w:val="22"/>
              </w:rPr>
            </w:pPr>
            <w:r>
              <w:br/>
            </w:r>
            <w:r>
              <w:rPr>
                <w:b/>
                <w:sz w:val="22"/>
                <w:szCs w:val="22"/>
              </w:rPr>
              <w:t>Exam 2</w:t>
            </w:r>
            <w:r w:rsidRPr="00AD1406">
              <w:rPr>
                <w:b/>
                <w:sz w:val="22"/>
                <w:szCs w:val="22"/>
              </w:rPr>
              <w:t xml:space="preserve"> – </w:t>
            </w:r>
            <w:r>
              <w:rPr>
                <w:b/>
                <w:sz w:val="22"/>
                <w:szCs w:val="22"/>
              </w:rPr>
              <w:t>Undergraduate Heat Transfer Topics</w:t>
            </w:r>
          </w:p>
        </w:tc>
      </w:tr>
      <w:tr w:rsidR="00903C67" w:rsidRPr="00AD1406" w:rsidTr="00AD1406">
        <w:trPr>
          <w:jc w:val="center"/>
        </w:trPr>
        <w:tc>
          <w:tcPr>
            <w:tcW w:w="864" w:type="dxa"/>
            <w:tcBorders>
              <w:bottom w:val="single" w:sz="4" w:space="0" w:color="auto"/>
            </w:tcBorders>
          </w:tcPr>
          <w:p w:rsidR="00903C67" w:rsidRPr="00AD1406" w:rsidRDefault="00903C67" w:rsidP="00AD1406">
            <w:pPr>
              <w:pStyle w:val="Tabletext"/>
              <w:spacing w:before="0" w:after="0"/>
              <w:rPr>
                <w:sz w:val="22"/>
                <w:szCs w:val="22"/>
              </w:rPr>
            </w:pPr>
            <w:r w:rsidRPr="00AD1406">
              <w:rPr>
                <w:sz w:val="22"/>
                <w:szCs w:val="22"/>
              </w:rPr>
              <w:t>7</w:t>
            </w:r>
          </w:p>
          <w:p w:rsidR="00903C67" w:rsidRPr="00AD1406" w:rsidRDefault="00903C67" w:rsidP="00AD1406">
            <w:pPr>
              <w:spacing w:after="0"/>
              <w:rPr>
                <w:rFonts w:ascii="Times New Roman" w:hAnsi="Times New Roman" w:cs="Times New Roman"/>
              </w:rPr>
            </w:pPr>
          </w:p>
        </w:tc>
        <w:tc>
          <w:tcPr>
            <w:tcW w:w="1440" w:type="dxa"/>
            <w:tcBorders>
              <w:bottom w:val="single" w:sz="4" w:space="0" w:color="auto"/>
            </w:tcBorders>
          </w:tcPr>
          <w:p w:rsidR="00903C67" w:rsidRPr="00AD1406" w:rsidRDefault="00903C67" w:rsidP="00AD1406">
            <w:pPr>
              <w:pStyle w:val="Tabletext"/>
              <w:spacing w:before="0" w:after="0"/>
              <w:rPr>
                <w:sz w:val="22"/>
                <w:szCs w:val="22"/>
              </w:rPr>
            </w:pPr>
            <w:r w:rsidRPr="00AD1406">
              <w:rPr>
                <w:sz w:val="22"/>
                <w:szCs w:val="22"/>
              </w:rPr>
              <w:t>3/4, 3/6</w:t>
            </w:r>
          </w:p>
        </w:tc>
        <w:tc>
          <w:tcPr>
            <w:tcW w:w="6912" w:type="dxa"/>
            <w:tcBorders>
              <w:bottom w:val="single" w:sz="4" w:space="0" w:color="auto"/>
            </w:tcBorders>
          </w:tcPr>
          <w:p w:rsidR="00903C67" w:rsidRPr="00AD1406" w:rsidRDefault="00903C67" w:rsidP="009B6AA8">
            <w:pPr>
              <w:spacing w:after="0"/>
              <w:rPr>
                <w:rFonts w:ascii="Times New Roman" w:hAnsi="Times New Roman" w:cs="Times New Roman"/>
              </w:rPr>
            </w:pPr>
            <w:r>
              <w:rPr>
                <w:rFonts w:ascii="Times New Roman" w:hAnsi="Times New Roman" w:cs="Times New Roman"/>
              </w:rPr>
              <w:t>Conduction solutions:  temperature superposition and Green’s function</w:t>
            </w:r>
            <w:r>
              <w:rPr>
                <w:rFonts w:ascii="Times New Roman" w:hAnsi="Times New Roman" w:cs="Times New Roman"/>
              </w:rPr>
              <w:br/>
              <w:t>(Rhee and Bhatt, 2007)</w:t>
            </w:r>
            <w:r w:rsidR="00C86F95">
              <w:rPr>
                <w:rFonts w:ascii="Times New Roman" w:hAnsi="Times New Roman" w:cs="Times New Roman"/>
              </w:rPr>
              <w:t xml:space="preserve"> (Beck et al.,</w:t>
            </w:r>
            <w:r w:rsidR="005D390C">
              <w:rPr>
                <w:rFonts w:ascii="Times New Roman" w:hAnsi="Times New Roman" w:cs="Times New Roman"/>
              </w:rPr>
              <w:t xml:space="preserve"> </w:t>
            </w:r>
            <w:r w:rsidR="00C86F95">
              <w:rPr>
                <w:rFonts w:ascii="Times New Roman" w:hAnsi="Times New Roman" w:cs="Times New Roman"/>
                <w:i/>
              </w:rPr>
              <w:t>Project</w:t>
            </w:r>
            <w:r w:rsidR="005D390C" w:rsidRPr="005D390C">
              <w:rPr>
                <w:rFonts w:ascii="Times New Roman" w:hAnsi="Times New Roman" w:cs="Times New Roman"/>
                <w:i/>
              </w:rPr>
              <w:t>1 assigned</w:t>
            </w:r>
            <w:r w:rsidR="005D390C">
              <w:rPr>
                <w:rFonts w:ascii="Times New Roman" w:hAnsi="Times New Roman" w:cs="Times New Roman"/>
                <w:i/>
              </w:rPr>
              <w:t>, Final Project assigned</w:t>
            </w:r>
          </w:p>
        </w:tc>
      </w:tr>
      <w:tr w:rsidR="00903C67" w:rsidRPr="00AD1406" w:rsidTr="00AD1406">
        <w:trPr>
          <w:jc w:val="center"/>
        </w:trPr>
        <w:tc>
          <w:tcPr>
            <w:tcW w:w="864" w:type="dxa"/>
            <w:tcBorders>
              <w:bottom w:val="single" w:sz="4" w:space="0" w:color="auto"/>
            </w:tcBorders>
          </w:tcPr>
          <w:p w:rsidR="00903C67" w:rsidRPr="00AD1406" w:rsidRDefault="00903C67" w:rsidP="00AD1406">
            <w:pPr>
              <w:pStyle w:val="Tabletext"/>
              <w:spacing w:before="0" w:after="0"/>
              <w:rPr>
                <w:sz w:val="22"/>
                <w:szCs w:val="22"/>
              </w:rPr>
            </w:pPr>
            <w:r w:rsidRPr="00AD1406">
              <w:rPr>
                <w:sz w:val="22"/>
                <w:szCs w:val="22"/>
              </w:rPr>
              <w:t>8</w:t>
            </w:r>
          </w:p>
          <w:p w:rsidR="00903C67" w:rsidRPr="00AD1406" w:rsidRDefault="00903C67" w:rsidP="00AD1406">
            <w:pPr>
              <w:spacing w:after="0"/>
              <w:rPr>
                <w:rFonts w:ascii="Times New Roman" w:hAnsi="Times New Roman" w:cs="Times New Roman"/>
              </w:rPr>
            </w:pPr>
          </w:p>
        </w:tc>
        <w:tc>
          <w:tcPr>
            <w:tcW w:w="1440" w:type="dxa"/>
            <w:tcBorders>
              <w:bottom w:val="single" w:sz="4" w:space="0" w:color="auto"/>
            </w:tcBorders>
          </w:tcPr>
          <w:p w:rsidR="00903C67" w:rsidRPr="00AD1406" w:rsidRDefault="00903C67" w:rsidP="00AD1406">
            <w:pPr>
              <w:pStyle w:val="Tabletext"/>
              <w:spacing w:before="0" w:after="0"/>
              <w:rPr>
                <w:sz w:val="22"/>
                <w:szCs w:val="22"/>
              </w:rPr>
            </w:pPr>
            <w:r w:rsidRPr="00AD1406">
              <w:rPr>
                <w:sz w:val="22"/>
                <w:szCs w:val="22"/>
              </w:rPr>
              <w:t>3/11, 3/13</w:t>
            </w:r>
          </w:p>
        </w:tc>
        <w:tc>
          <w:tcPr>
            <w:tcW w:w="6912" w:type="dxa"/>
            <w:tcBorders>
              <w:bottom w:val="single" w:sz="4" w:space="0" w:color="auto"/>
            </w:tcBorders>
          </w:tcPr>
          <w:p w:rsidR="00903C67" w:rsidRPr="00AD1406" w:rsidRDefault="00903C67" w:rsidP="009B6AA8">
            <w:pPr>
              <w:spacing w:after="0"/>
              <w:rPr>
                <w:rFonts w:ascii="Times New Roman" w:hAnsi="Times New Roman" w:cs="Times New Roman"/>
              </w:rPr>
            </w:pPr>
            <w:r>
              <w:rPr>
                <w:rFonts w:ascii="Times New Roman" w:hAnsi="Times New Roman" w:cs="Times New Roman"/>
              </w:rPr>
              <w:t>Conduction solution workshops</w:t>
            </w:r>
          </w:p>
        </w:tc>
      </w:tr>
      <w:tr w:rsidR="00903C67" w:rsidRPr="00AD1406" w:rsidTr="00AD1406">
        <w:trPr>
          <w:jc w:val="center"/>
        </w:trPr>
        <w:tc>
          <w:tcPr>
            <w:tcW w:w="864" w:type="dxa"/>
            <w:tcBorders>
              <w:bottom w:val="single" w:sz="4" w:space="0" w:color="auto"/>
              <w:right w:val="single" w:sz="4" w:space="0" w:color="auto"/>
            </w:tcBorders>
          </w:tcPr>
          <w:p w:rsidR="00903C67" w:rsidRPr="00AD1406" w:rsidRDefault="00903C67" w:rsidP="00AD1406">
            <w:pPr>
              <w:pStyle w:val="Tabletext"/>
              <w:spacing w:before="0" w:after="0"/>
              <w:rPr>
                <w:sz w:val="22"/>
                <w:szCs w:val="22"/>
              </w:rPr>
            </w:pPr>
            <w:r w:rsidRPr="00AD1406">
              <w:rPr>
                <w:sz w:val="22"/>
                <w:szCs w:val="22"/>
              </w:rPr>
              <w:t>9</w:t>
            </w:r>
          </w:p>
          <w:p w:rsidR="00903C67" w:rsidRPr="00AD1406" w:rsidRDefault="00903C67" w:rsidP="00AD1406">
            <w:pPr>
              <w:spacing w:after="0"/>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903C67" w:rsidRPr="00AD1406" w:rsidRDefault="00903C67" w:rsidP="00AD1406">
            <w:pPr>
              <w:pStyle w:val="Tabletext"/>
              <w:spacing w:before="0" w:after="0"/>
              <w:rPr>
                <w:sz w:val="22"/>
                <w:szCs w:val="22"/>
              </w:rPr>
            </w:pPr>
            <w:r w:rsidRPr="00AD1406">
              <w:rPr>
                <w:sz w:val="22"/>
                <w:szCs w:val="22"/>
              </w:rPr>
              <w:t>3/18, 3/20</w:t>
            </w:r>
          </w:p>
        </w:tc>
        <w:tc>
          <w:tcPr>
            <w:tcW w:w="6912" w:type="dxa"/>
            <w:tcBorders>
              <w:top w:val="single" w:sz="4" w:space="0" w:color="auto"/>
              <w:left w:val="single" w:sz="4" w:space="0" w:color="auto"/>
              <w:bottom w:val="single" w:sz="4" w:space="0" w:color="auto"/>
              <w:right w:val="single" w:sz="4" w:space="0" w:color="auto"/>
            </w:tcBorders>
          </w:tcPr>
          <w:p w:rsidR="00903C67" w:rsidRPr="00AD1406" w:rsidRDefault="00903C67" w:rsidP="009B6AA8">
            <w:pPr>
              <w:spacing w:after="0"/>
              <w:rPr>
                <w:rFonts w:ascii="Times New Roman" w:hAnsi="Times New Roman" w:cs="Times New Roman"/>
              </w:rPr>
            </w:pPr>
            <w:r w:rsidRPr="00AD1406">
              <w:rPr>
                <w:rFonts w:ascii="Times New Roman" w:hAnsi="Times New Roman" w:cs="Times New Roman"/>
              </w:rPr>
              <w:t>Spring Break/Cesar Chavez Day</w:t>
            </w:r>
          </w:p>
        </w:tc>
      </w:tr>
      <w:tr w:rsidR="00903C67" w:rsidRPr="00AD1406" w:rsidTr="00AD1406">
        <w:trPr>
          <w:jc w:val="center"/>
        </w:trPr>
        <w:tc>
          <w:tcPr>
            <w:tcW w:w="864" w:type="dxa"/>
            <w:tcBorders>
              <w:bottom w:val="single" w:sz="4" w:space="0" w:color="auto"/>
              <w:right w:val="single" w:sz="4" w:space="0" w:color="auto"/>
            </w:tcBorders>
          </w:tcPr>
          <w:p w:rsidR="00903C67" w:rsidRPr="00AD1406" w:rsidRDefault="00903C67" w:rsidP="00AD1406">
            <w:pPr>
              <w:pStyle w:val="Tabletext"/>
              <w:spacing w:before="0" w:after="0"/>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903C67" w:rsidRPr="00AD1406" w:rsidRDefault="00903C67" w:rsidP="00AD1406">
            <w:pPr>
              <w:pStyle w:val="Tabletext"/>
              <w:spacing w:before="0" w:after="0"/>
              <w:rPr>
                <w:sz w:val="22"/>
                <w:szCs w:val="22"/>
              </w:rPr>
            </w:pPr>
            <w:r w:rsidRPr="00AD1406">
              <w:rPr>
                <w:sz w:val="22"/>
                <w:szCs w:val="22"/>
              </w:rPr>
              <w:t>3/25-3/29, 4/1</w:t>
            </w:r>
          </w:p>
        </w:tc>
        <w:tc>
          <w:tcPr>
            <w:tcW w:w="6912" w:type="dxa"/>
            <w:tcBorders>
              <w:top w:val="single" w:sz="4" w:space="0" w:color="auto"/>
              <w:left w:val="single" w:sz="4" w:space="0" w:color="auto"/>
              <w:bottom w:val="single" w:sz="4" w:space="0" w:color="auto"/>
              <w:right w:val="single" w:sz="4" w:space="0" w:color="auto"/>
            </w:tcBorders>
          </w:tcPr>
          <w:p w:rsidR="00903C67" w:rsidRPr="00AD1406" w:rsidRDefault="00903C67" w:rsidP="009B6AA8">
            <w:pPr>
              <w:spacing w:after="0"/>
              <w:rPr>
                <w:rFonts w:ascii="Times New Roman" w:hAnsi="Times New Roman" w:cs="Times New Roman"/>
              </w:rPr>
            </w:pPr>
            <w:r>
              <w:rPr>
                <w:rFonts w:ascii="Times New Roman" w:hAnsi="Times New Roman" w:cs="Times New Roman"/>
              </w:rPr>
              <w:t>Forced Convection:  Equations of motion; tensor notation (Ch. 2, Pope)</w:t>
            </w:r>
            <w:r>
              <w:rPr>
                <w:rFonts w:ascii="Times New Roman" w:hAnsi="Times New Roman" w:cs="Times New Roman"/>
              </w:rPr>
              <w:br/>
              <w:t>M</w:t>
            </w:r>
            <w:r w:rsidR="005D390C">
              <w:rPr>
                <w:rFonts w:ascii="Times New Roman" w:hAnsi="Times New Roman" w:cs="Times New Roman"/>
              </w:rPr>
              <w:t xml:space="preserve">ean flow equations (Ch. 4, Pope) </w:t>
            </w:r>
            <w:r w:rsidR="00C86F95">
              <w:rPr>
                <w:rFonts w:ascii="Times New Roman" w:hAnsi="Times New Roman" w:cs="Times New Roman"/>
                <w:i/>
              </w:rPr>
              <w:t>Project1 due, Project</w:t>
            </w:r>
            <w:r w:rsidR="005D390C" w:rsidRPr="005D390C">
              <w:rPr>
                <w:rFonts w:ascii="Times New Roman" w:hAnsi="Times New Roman" w:cs="Times New Roman"/>
                <w:i/>
              </w:rPr>
              <w:t>2 assigned</w:t>
            </w:r>
          </w:p>
        </w:tc>
      </w:tr>
      <w:tr w:rsidR="00903C67" w:rsidRPr="00AD1406" w:rsidTr="00AD1406">
        <w:trPr>
          <w:jc w:val="center"/>
        </w:trPr>
        <w:tc>
          <w:tcPr>
            <w:tcW w:w="864" w:type="dxa"/>
          </w:tcPr>
          <w:p w:rsidR="00903C67" w:rsidRPr="00AD1406" w:rsidRDefault="00903C67" w:rsidP="00AD1406">
            <w:pPr>
              <w:pStyle w:val="Tabletext"/>
              <w:spacing w:before="0" w:after="0"/>
              <w:rPr>
                <w:sz w:val="22"/>
                <w:szCs w:val="22"/>
              </w:rPr>
            </w:pPr>
            <w:r w:rsidRPr="00AD1406">
              <w:rPr>
                <w:sz w:val="22"/>
                <w:szCs w:val="22"/>
              </w:rPr>
              <w:t>10</w:t>
            </w:r>
          </w:p>
          <w:p w:rsidR="00903C67" w:rsidRPr="00AD1406" w:rsidRDefault="00903C67" w:rsidP="00AD1406">
            <w:pPr>
              <w:spacing w:after="0"/>
              <w:rPr>
                <w:rFonts w:ascii="Times New Roman" w:hAnsi="Times New Roman" w:cs="Times New Roman"/>
              </w:rPr>
            </w:pPr>
          </w:p>
        </w:tc>
        <w:tc>
          <w:tcPr>
            <w:tcW w:w="1440" w:type="dxa"/>
          </w:tcPr>
          <w:p w:rsidR="00903C67" w:rsidRPr="00AD1406" w:rsidRDefault="00903C67" w:rsidP="00AD1406">
            <w:pPr>
              <w:pStyle w:val="Tabletext"/>
              <w:spacing w:before="0" w:after="0"/>
              <w:rPr>
                <w:sz w:val="22"/>
                <w:szCs w:val="22"/>
              </w:rPr>
            </w:pPr>
            <w:r w:rsidRPr="00AD1406">
              <w:rPr>
                <w:sz w:val="22"/>
                <w:szCs w:val="22"/>
              </w:rPr>
              <w:t>4/3, 4/8</w:t>
            </w:r>
          </w:p>
        </w:tc>
        <w:tc>
          <w:tcPr>
            <w:tcW w:w="6912" w:type="dxa"/>
          </w:tcPr>
          <w:p w:rsidR="00903C67" w:rsidRPr="00AD1406" w:rsidRDefault="00903C67" w:rsidP="009B6AA8">
            <w:pPr>
              <w:spacing w:after="0"/>
              <w:rPr>
                <w:rFonts w:ascii="Times New Roman" w:hAnsi="Times New Roman" w:cs="Times New Roman"/>
              </w:rPr>
            </w:pPr>
            <w:r>
              <w:rPr>
                <w:rFonts w:ascii="Times New Roman" w:hAnsi="Times New Roman" w:cs="Times New Roman"/>
              </w:rPr>
              <w:t>Turbulence viscosity models, k-</w:t>
            </w:r>
            <w:r>
              <w:rPr>
                <w:rFonts w:ascii="Times New Roman" w:hAnsi="Times New Roman" w:cs="Times New Roman"/>
              </w:rPr>
              <w:sym w:font="Symbol" w:char="F065"/>
            </w:r>
            <w:r>
              <w:rPr>
                <w:rFonts w:ascii="Times New Roman" w:hAnsi="Times New Roman" w:cs="Times New Roman"/>
              </w:rPr>
              <w:t>, k-</w:t>
            </w:r>
            <w:r>
              <w:rPr>
                <w:rFonts w:ascii="Times New Roman" w:hAnsi="Times New Roman" w:cs="Times New Roman"/>
              </w:rPr>
              <w:sym w:font="Symbol" w:char="F077"/>
            </w:r>
            <w:r>
              <w:rPr>
                <w:rFonts w:ascii="Times New Roman" w:hAnsi="Times New Roman" w:cs="Times New Roman"/>
              </w:rPr>
              <w:t xml:space="preserve"> (Ch. 10, Pope)</w:t>
            </w:r>
          </w:p>
        </w:tc>
      </w:tr>
      <w:tr w:rsidR="00903C67" w:rsidRPr="00AD1406" w:rsidTr="00AD1406">
        <w:trPr>
          <w:jc w:val="center"/>
        </w:trPr>
        <w:tc>
          <w:tcPr>
            <w:tcW w:w="864" w:type="dxa"/>
          </w:tcPr>
          <w:p w:rsidR="00903C67" w:rsidRPr="00AD1406" w:rsidRDefault="00903C67" w:rsidP="00AD1406">
            <w:pPr>
              <w:pStyle w:val="Tabletext"/>
              <w:spacing w:before="0" w:after="0"/>
              <w:rPr>
                <w:sz w:val="22"/>
                <w:szCs w:val="22"/>
              </w:rPr>
            </w:pPr>
            <w:r w:rsidRPr="00AD1406">
              <w:rPr>
                <w:sz w:val="22"/>
                <w:szCs w:val="22"/>
              </w:rPr>
              <w:t>11</w:t>
            </w:r>
          </w:p>
          <w:p w:rsidR="00903C67" w:rsidRPr="00AD1406" w:rsidRDefault="00903C67" w:rsidP="00AD1406">
            <w:pPr>
              <w:spacing w:after="0"/>
              <w:rPr>
                <w:rFonts w:ascii="Times New Roman" w:hAnsi="Times New Roman" w:cs="Times New Roman"/>
              </w:rPr>
            </w:pPr>
          </w:p>
        </w:tc>
        <w:tc>
          <w:tcPr>
            <w:tcW w:w="1440" w:type="dxa"/>
          </w:tcPr>
          <w:p w:rsidR="00903C67" w:rsidRPr="00AD1406" w:rsidRDefault="00903C67" w:rsidP="00AD1406">
            <w:pPr>
              <w:pStyle w:val="Tabletext"/>
              <w:spacing w:before="0" w:after="0"/>
              <w:rPr>
                <w:sz w:val="22"/>
                <w:szCs w:val="22"/>
              </w:rPr>
            </w:pPr>
            <w:r w:rsidRPr="00AD1406">
              <w:rPr>
                <w:sz w:val="22"/>
                <w:szCs w:val="22"/>
              </w:rPr>
              <w:t>4/10, 4/15</w:t>
            </w:r>
          </w:p>
        </w:tc>
        <w:tc>
          <w:tcPr>
            <w:tcW w:w="6912" w:type="dxa"/>
          </w:tcPr>
          <w:p w:rsidR="00903C67" w:rsidRPr="00AD1406" w:rsidRDefault="00903C67" w:rsidP="009B6AA8">
            <w:pPr>
              <w:spacing w:after="0"/>
              <w:rPr>
                <w:rFonts w:ascii="Times New Roman" w:hAnsi="Times New Roman" w:cs="Times New Roman"/>
              </w:rPr>
            </w:pPr>
            <w:r>
              <w:rPr>
                <w:rFonts w:ascii="Times New Roman" w:hAnsi="Times New Roman" w:cs="Times New Roman"/>
              </w:rPr>
              <w:t>Turbulence viscosity model workshops</w:t>
            </w:r>
          </w:p>
        </w:tc>
      </w:tr>
      <w:tr w:rsidR="00903C67" w:rsidRPr="00AD1406" w:rsidTr="00AD1406">
        <w:trPr>
          <w:jc w:val="center"/>
        </w:trPr>
        <w:tc>
          <w:tcPr>
            <w:tcW w:w="864" w:type="dxa"/>
            <w:tcBorders>
              <w:bottom w:val="single" w:sz="4" w:space="0" w:color="auto"/>
            </w:tcBorders>
          </w:tcPr>
          <w:p w:rsidR="00903C67" w:rsidRPr="00AD1406" w:rsidRDefault="00903C67" w:rsidP="00AD1406">
            <w:pPr>
              <w:pStyle w:val="Tabletext"/>
              <w:spacing w:before="0" w:after="0"/>
              <w:rPr>
                <w:sz w:val="22"/>
                <w:szCs w:val="22"/>
              </w:rPr>
            </w:pPr>
            <w:r w:rsidRPr="00AD1406">
              <w:rPr>
                <w:sz w:val="22"/>
                <w:szCs w:val="22"/>
              </w:rPr>
              <w:t>12</w:t>
            </w:r>
          </w:p>
          <w:p w:rsidR="00903C67" w:rsidRPr="00AD1406" w:rsidRDefault="00903C67" w:rsidP="00AD1406">
            <w:pPr>
              <w:spacing w:after="0"/>
              <w:rPr>
                <w:rFonts w:ascii="Times New Roman" w:hAnsi="Times New Roman" w:cs="Times New Roman"/>
              </w:rPr>
            </w:pPr>
          </w:p>
        </w:tc>
        <w:tc>
          <w:tcPr>
            <w:tcW w:w="1440" w:type="dxa"/>
            <w:tcBorders>
              <w:bottom w:val="single" w:sz="4" w:space="0" w:color="auto"/>
            </w:tcBorders>
          </w:tcPr>
          <w:p w:rsidR="00903C67" w:rsidRPr="00AD1406" w:rsidRDefault="00903C67" w:rsidP="00AD1406">
            <w:pPr>
              <w:pStyle w:val="Tabletext"/>
              <w:spacing w:before="0" w:after="0"/>
              <w:rPr>
                <w:sz w:val="22"/>
                <w:szCs w:val="22"/>
              </w:rPr>
            </w:pPr>
            <w:r w:rsidRPr="00AD1406">
              <w:rPr>
                <w:sz w:val="22"/>
                <w:szCs w:val="22"/>
              </w:rPr>
              <w:t>4/17, 4/22</w:t>
            </w:r>
          </w:p>
        </w:tc>
        <w:tc>
          <w:tcPr>
            <w:tcW w:w="6912" w:type="dxa"/>
            <w:tcBorders>
              <w:bottom w:val="single" w:sz="4" w:space="0" w:color="auto"/>
            </w:tcBorders>
          </w:tcPr>
          <w:p w:rsidR="00903C67" w:rsidRPr="00AD1406" w:rsidRDefault="00903C67" w:rsidP="009B6AA8">
            <w:pPr>
              <w:spacing w:after="0"/>
              <w:rPr>
                <w:rFonts w:ascii="Times New Roman" w:hAnsi="Times New Roman" w:cs="Times New Roman"/>
              </w:rPr>
            </w:pPr>
            <w:r>
              <w:rPr>
                <w:rFonts w:ascii="Times New Roman" w:hAnsi="Times New Roman" w:cs="Times New Roman"/>
              </w:rPr>
              <w:t>Boiling heat transfer (Ch. 10, Cengel and Ghajar)</w:t>
            </w:r>
            <w:r w:rsidR="005D390C">
              <w:rPr>
                <w:rFonts w:ascii="Times New Roman" w:hAnsi="Times New Roman" w:cs="Times New Roman"/>
              </w:rPr>
              <w:t xml:space="preserve"> </w:t>
            </w:r>
            <w:r w:rsidR="00C86F95">
              <w:rPr>
                <w:rFonts w:ascii="Times New Roman" w:hAnsi="Times New Roman" w:cs="Times New Roman"/>
                <w:i/>
              </w:rPr>
              <w:t>Project2 due, Project</w:t>
            </w:r>
            <w:r w:rsidR="005D390C" w:rsidRPr="005D390C">
              <w:rPr>
                <w:rFonts w:ascii="Times New Roman" w:hAnsi="Times New Roman" w:cs="Times New Roman"/>
                <w:i/>
              </w:rPr>
              <w:t>3 assigned</w:t>
            </w:r>
            <w:r w:rsidR="005D390C">
              <w:rPr>
                <w:rFonts w:ascii="Times New Roman" w:hAnsi="Times New Roman" w:cs="Times New Roman"/>
                <w:i/>
              </w:rPr>
              <w:t>, Final Project topics due</w:t>
            </w:r>
          </w:p>
        </w:tc>
      </w:tr>
      <w:tr w:rsidR="00903C67" w:rsidRPr="00AD1406" w:rsidTr="00AD1406">
        <w:trPr>
          <w:jc w:val="center"/>
        </w:trPr>
        <w:tc>
          <w:tcPr>
            <w:tcW w:w="864" w:type="dxa"/>
          </w:tcPr>
          <w:p w:rsidR="00903C67" w:rsidRPr="00AD1406" w:rsidRDefault="00903C67" w:rsidP="00AD1406">
            <w:pPr>
              <w:pStyle w:val="Tabletext"/>
              <w:spacing w:before="0" w:after="0"/>
              <w:rPr>
                <w:sz w:val="22"/>
                <w:szCs w:val="22"/>
              </w:rPr>
            </w:pPr>
            <w:r w:rsidRPr="00AD1406">
              <w:rPr>
                <w:sz w:val="22"/>
                <w:szCs w:val="22"/>
              </w:rPr>
              <w:t>13</w:t>
            </w:r>
          </w:p>
          <w:p w:rsidR="00903C67" w:rsidRPr="00AD1406" w:rsidRDefault="00903C67" w:rsidP="00AD1406">
            <w:pPr>
              <w:spacing w:after="0"/>
              <w:rPr>
                <w:rFonts w:ascii="Times New Roman" w:hAnsi="Times New Roman" w:cs="Times New Roman"/>
              </w:rPr>
            </w:pPr>
          </w:p>
        </w:tc>
        <w:tc>
          <w:tcPr>
            <w:tcW w:w="1440" w:type="dxa"/>
          </w:tcPr>
          <w:p w:rsidR="00903C67" w:rsidRPr="00AD1406" w:rsidRDefault="00903C67" w:rsidP="00AD1406">
            <w:pPr>
              <w:pStyle w:val="Tabletext"/>
              <w:spacing w:before="0" w:after="0"/>
              <w:rPr>
                <w:sz w:val="22"/>
                <w:szCs w:val="22"/>
              </w:rPr>
            </w:pPr>
            <w:r w:rsidRPr="00AD1406">
              <w:rPr>
                <w:sz w:val="22"/>
                <w:szCs w:val="22"/>
              </w:rPr>
              <w:t>4/24, 4/29</w:t>
            </w:r>
          </w:p>
        </w:tc>
        <w:tc>
          <w:tcPr>
            <w:tcW w:w="6912" w:type="dxa"/>
          </w:tcPr>
          <w:p w:rsidR="00903C67" w:rsidRPr="00AD1406" w:rsidRDefault="00903C67" w:rsidP="009B6AA8">
            <w:pPr>
              <w:spacing w:after="0"/>
              <w:rPr>
                <w:rFonts w:ascii="Times New Roman" w:hAnsi="Times New Roman" w:cs="Times New Roman"/>
              </w:rPr>
            </w:pPr>
            <w:r>
              <w:rPr>
                <w:rFonts w:ascii="Times New Roman" w:hAnsi="Times New Roman" w:cs="Times New Roman"/>
              </w:rPr>
              <w:t>Boiling heat transfer workshops</w:t>
            </w:r>
          </w:p>
        </w:tc>
      </w:tr>
      <w:tr w:rsidR="00AD1406" w:rsidRPr="00AD1406" w:rsidTr="00AD1406">
        <w:trPr>
          <w:jc w:val="center"/>
        </w:trPr>
        <w:tc>
          <w:tcPr>
            <w:tcW w:w="864" w:type="dxa"/>
          </w:tcPr>
          <w:p w:rsidR="00AD1406" w:rsidRPr="00AD1406" w:rsidRDefault="00AD1406" w:rsidP="00AD1406">
            <w:pPr>
              <w:pStyle w:val="Tabletext"/>
              <w:spacing w:before="0" w:after="0"/>
              <w:rPr>
                <w:sz w:val="22"/>
                <w:szCs w:val="22"/>
              </w:rPr>
            </w:pPr>
            <w:r w:rsidRPr="00AD1406">
              <w:rPr>
                <w:sz w:val="22"/>
                <w:szCs w:val="22"/>
              </w:rPr>
              <w:t>14</w:t>
            </w:r>
          </w:p>
          <w:p w:rsidR="00AD1406" w:rsidRPr="00AD1406" w:rsidRDefault="00AD1406" w:rsidP="00AD1406">
            <w:pPr>
              <w:spacing w:after="0"/>
              <w:rPr>
                <w:rFonts w:ascii="Times New Roman" w:hAnsi="Times New Roman" w:cs="Times New Roman"/>
              </w:rPr>
            </w:pPr>
          </w:p>
        </w:tc>
        <w:tc>
          <w:tcPr>
            <w:tcW w:w="1440" w:type="dxa"/>
          </w:tcPr>
          <w:p w:rsidR="00AD1406" w:rsidRPr="00AD1406" w:rsidRDefault="00AD1406" w:rsidP="00AD1406">
            <w:pPr>
              <w:pStyle w:val="Tabletext"/>
              <w:spacing w:before="0" w:after="0"/>
              <w:rPr>
                <w:sz w:val="22"/>
                <w:szCs w:val="22"/>
              </w:rPr>
            </w:pPr>
            <w:r w:rsidRPr="00AD1406">
              <w:rPr>
                <w:sz w:val="22"/>
                <w:szCs w:val="22"/>
              </w:rPr>
              <w:t>5/1, 5/6</w:t>
            </w:r>
            <w:r w:rsidRPr="00AD1406">
              <w:rPr>
                <w:sz w:val="22"/>
                <w:szCs w:val="22"/>
              </w:rPr>
              <w:br/>
            </w:r>
          </w:p>
        </w:tc>
        <w:tc>
          <w:tcPr>
            <w:tcW w:w="6912" w:type="dxa"/>
            <w:shd w:val="clear" w:color="auto" w:fill="auto"/>
          </w:tcPr>
          <w:p w:rsidR="00AD1406" w:rsidRPr="00AD1406" w:rsidRDefault="00903C67" w:rsidP="00AD1406">
            <w:pPr>
              <w:spacing w:after="0"/>
              <w:rPr>
                <w:rFonts w:ascii="Times New Roman" w:hAnsi="Times New Roman" w:cs="Times New Roman"/>
              </w:rPr>
            </w:pPr>
            <w:r>
              <w:rPr>
                <w:rFonts w:ascii="Times New Roman" w:hAnsi="Times New Roman" w:cs="Times New Roman"/>
              </w:rPr>
              <w:t>Advanced radiation (13-5 to 13-6, Cengel and Ghajar)</w:t>
            </w:r>
            <w:r w:rsidR="005D390C">
              <w:rPr>
                <w:rFonts w:ascii="Times New Roman" w:hAnsi="Times New Roman" w:cs="Times New Roman"/>
              </w:rPr>
              <w:t xml:space="preserve"> </w:t>
            </w:r>
            <w:r w:rsidR="00C86F95">
              <w:rPr>
                <w:rFonts w:ascii="Times New Roman" w:hAnsi="Times New Roman" w:cs="Times New Roman"/>
                <w:i/>
              </w:rPr>
              <w:t>Project3 due, Project</w:t>
            </w:r>
            <w:r w:rsidR="005D390C" w:rsidRPr="005D390C">
              <w:rPr>
                <w:rFonts w:ascii="Times New Roman" w:hAnsi="Times New Roman" w:cs="Times New Roman"/>
                <w:i/>
              </w:rPr>
              <w:t>4 assigned</w:t>
            </w:r>
          </w:p>
        </w:tc>
      </w:tr>
      <w:tr w:rsidR="00AD1406" w:rsidRPr="00AD1406" w:rsidTr="00AD1406">
        <w:trPr>
          <w:jc w:val="center"/>
        </w:trPr>
        <w:tc>
          <w:tcPr>
            <w:tcW w:w="864" w:type="dxa"/>
          </w:tcPr>
          <w:p w:rsidR="00AD1406" w:rsidRPr="00AD1406" w:rsidRDefault="00AD1406" w:rsidP="00AD1406">
            <w:pPr>
              <w:pStyle w:val="Tabletext"/>
              <w:spacing w:before="0" w:after="0"/>
              <w:rPr>
                <w:sz w:val="22"/>
                <w:szCs w:val="22"/>
              </w:rPr>
            </w:pPr>
            <w:r w:rsidRPr="00AD1406">
              <w:rPr>
                <w:sz w:val="22"/>
                <w:szCs w:val="22"/>
              </w:rPr>
              <w:t>15</w:t>
            </w:r>
          </w:p>
          <w:p w:rsidR="00AD1406" w:rsidRPr="00AD1406" w:rsidRDefault="00AD1406" w:rsidP="00AD1406">
            <w:pPr>
              <w:spacing w:after="0"/>
              <w:rPr>
                <w:rFonts w:ascii="Times New Roman" w:hAnsi="Times New Roman" w:cs="Times New Roman"/>
              </w:rPr>
            </w:pPr>
          </w:p>
        </w:tc>
        <w:tc>
          <w:tcPr>
            <w:tcW w:w="1440" w:type="dxa"/>
          </w:tcPr>
          <w:p w:rsidR="00AD1406" w:rsidRPr="00AD1406" w:rsidRDefault="00AD1406" w:rsidP="00AD1406">
            <w:pPr>
              <w:pStyle w:val="Tabletext"/>
              <w:spacing w:before="0" w:after="0"/>
              <w:rPr>
                <w:sz w:val="22"/>
                <w:szCs w:val="22"/>
              </w:rPr>
            </w:pPr>
            <w:r w:rsidRPr="00AD1406">
              <w:rPr>
                <w:sz w:val="22"/>
                <w:szCs w:val="22"/>
              </w:rPr>
              <w:t>5/8, 5/13</w:t>
            </w:r>
          </w:p>
        </w:tc>
        <w:tc>
          <w:tcPr>
            <w:tcW w:w="6912" w:type="dxa"/>
            <w:shd w:val="clear" w:color="auto" w:fill="auto"/>
          </w:tcPr>
          <w:p w:rsidR="00AD1406" w:rsidRPr="00AD1406" w:rsidRDefault="00903C67" w:rsidP="00AD1406">
            <w:pPr>
              <w:spacing w:after="0"/>
              <w:rPr>
                <w:rFonts w:ascii="Times New Roman" w:hAnsi="Times New Roman" w:cs="Times New Roman"/>
              </w:rPr>
            </w:pPr>
            <w:r>
              <w:rPr>
                <w:rFonts w:ascii="Times New Roman" w:hAnsi="Times New Roman" w:cs="Times New Roman"/>
              </w:rPr>
              <w:t>Advanced radiation workshops</w:t>
            </w:r>
            <w:r w:rsidR="005D390C">
              <w:rPr>
                <w:rFonts w:ascii="Times New Roman" w:hAnsi="Times New Roman" w:cs="Times New Roman"/>
              </w:rPr>
              <w:br/>
            </w:r>
            <w:r w:rsidR="00C86F95">
              <w:rPr>
                <w:rFonts w:ascii="Times New Roman" w:hAnsi="Times New Roman" w:cs="Times New Roman"/>
                <w:i/>
              </w:rPr>
              <w:t>Project</w:t>
            </w:r>
            <w:r w:rsidR="005D390C" w:rsidRPr="005D390C">
              <w:rPr>
                <w:rFonts w:ascii="Times New Roman" w:hAnsi="Times New Roman" w:cs="Times New Roman"/>
                <w:i/>
              </w:rPr>
              <w:t>4 due</w:t>
            </w:r>
          </w:p>
        </w:tc>
      </w:tr>
    </w:tbl>
    <w:p w:rsidR="00F12A20" w:rsidRDefault="00F12A20" w:rsidP="00AD1406">
      <w:pPr>
        <w:spacing w:after="0" w:line="200" w:lineRule="exact"/>
        <w:rPr>
          <w:sz w:val="20"/>
          <w:szCs w:val="20"/>
        </w:rPr>
      </w:pPr>
    </w:p>
    <w:p w:rsidR="00AD1406" w:rsidRPr="005D390C" w:rsidRDefault="00903C67" w:rsidP="005D390C">
      <w:pPr>
        <w:spacing w:after="0" w:line="200" w:lineRule="exact"/>
        <w:jc w:val="center"/>
        <w:rPr>
          <w:rFonts w:ascii="Times New Roman" w:hAnsi="Times New Roman" w:cs="Times New Roman"/>
          <w:sz w:val="24"/>
          <w:szCs w:val="24"/>
        </w:rPr>
      </w:pPr>
      <w:r w:rsidRPr="005D390C">
        <w:rPr>
          <w:rFonts w:ascii="Times New Roman" w:hAnsi="Times New Roman" w:cs="Times New Roman"/>
          <w:sz w:val="24"/>
          <w:szCs w:val="24"/>
        </w:rPr>
        <w:t xml:space="preserve">Final Project </w:t>
      </w:r>
      <w:r w:rsidR="005D390C" w:rsidRPr="005D390C">
        <w:rPr>
          <w:rFonts w:ascii="Times New Roman" w:hAnsi="Times New Roman" w:cs="Times New Roman"/>
          <w:sz w:val="24"/>
          <w:szCs w:val="24"/>
        </w:rPr>
        <w:t xml:space="preserve">is </w:t>
      </w:r>
      <w:r w:rsidRPr="005D390C">
        <w:rPr>
          <w:rFonts w:ascii="Times New Roman" w:hAnsi="Times New Roman" w:cs="Times New Roman"/>
          <w:sz w:val="24"/>
          <w:szCs w:val="24"/>
        </w:rPr>
        <w:t>due on Final Exam date:  Wednesday, May 15</w:t>
      </w:r>
      <w:r w:rsidRPr="005D390C">
        <w:rPr>
          <w:rFonts w:ascii="Times New Roman" w:hAnsi="Times New Roman" w:cs="Times New Roman"/>
          <w:sz w:val="24"/>
          <w:szCs w:val="24"/>
          <w:vertAlign w:val="superscript"/>
        </w:rPr>
        <w:t>th</w:t>
      </w:r>
      <w:r w:rsidRPr="005D390C">
        <w:rPr>
          <w:rFonts w:ascii="Times New Roman" w:hAnsi="Times New Roman" w:cs="Times New Roman"/>
          <w:sz w:val="24"/>
          <w:szCs w:val="24"/>
        </w:rPr>
        <w:t>, 2013</w:t>
      </w:r>
    </w:p>
    <w:sectPr w:rsidR="00AD1406" w:rsidRPr="005D390C" w:rsidSect="00F12A20">
      <w:pgSz w:w="12240" w:h="15840"/>
      <w:pgMar w:top="1200" w:right="580" w:bottom="700" w:left="760" w:header="0" w:footer="7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681" w:rsidRDefault="00235681" w:rsidP="00F12A20">
      <w:pPr>
        <w:spacing w:after="0" w:line="240" w:lineRule="auto"/>
      </w:pPr>
      <w:r>
        <w:separator/>
      </w:r>
    </w:p>
  </w:endnote>
  <w:endnote w:type="continuationSeparator" w:id="1">
    <w:p w:rsidR="00235681" w:rsidRDefault="00235681" w:rsidP="00F12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21641"/>
      <w:docPartObj>
        <w:docPartGallery w:val="Page Numbers (Bottom of Page)"/>
        <w:docPartUnique/>
      </w:docPartObj>
    </w:sdtPr>
    <w:sdtContent>
      <w:p w:rsidR="00960466" w:rsidRDefault="00960466" w:rsidP="00960466">
        <w:pPr>
          <w:pStyle w:val="Footer"/>
        </w:pPr>
        <w:r>
          <w:t>ME 211: Advanced Heat Transfer, Spring 2013, Prof. J. Rhee</w:t>
        </w:r>
        <w:r>
          <w:tab/>
        </w:r>
        <w:fldSimple w:instr=" PAGE   \* MERGEFORMAT ">
          <w:r w:rsidR="00C5397A">
            <w:rPr>
              <w:noProof/>
            </w:rPr>
            <w:t>5</w:t>
          </w:r>
        </w:fldSimple>
      </w:p>
    </w:sdtContent>
  </w:sdt>
  <w:p w:rsidR="00F12A20" w:rsidRDefault="00F12A20" w:rsidP="00E216D7">
    <w:pPr>
      <w:tabs>
        <w:tab w:val="left" w:pos="3845"/>
      </w:tabs>
      <w:spacing w:after="0"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681" w:rsidRDefault="00235681" w:rsidP="00F12A20">
      <w:pPr>
        <w:spacing w:after="0" w:line="240" w:lineRule="auto"/>
      </w:pPr>
      <w:r>
        <w:separator/>
      </w:r>
    </w:p>
  </w:footnote>
  <w:footnote w:type="continuationSeparator" w:id="1">
    <w:p w:rsidR="00235681" w:rsidRDefault="00235681" w:rsidP="00F12A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compat>
  <w:rsids>
    <w:rsidRoot w:val="00F12A20"/>
    <w:rsid w:val="00005387"/>
    <w:rsid w:val="00162DB0"/>
    <w:rsid w:val="001A1618"/>
    <w:rsid w:val="001B204B"/>
    <w:rsid w:val="00235681"/>
    <w:rsid w:val="002D03B6"/>
    <w:rsid w:val="00532FD1"/>
    <w:rsid w:val="00563587"/>
    <w:rsid w:val="005D390C"/>
    <w:rsid w:val="00842654"/>
    <w:rsid w:val="008B546E"/>
    <w:rsid w:val="00903C67"/>
    <w:rsid w:val="00960466"/>
    <w:rsid w:val="00A35401"/>
    <w:rsid w:val="00AD1406"/>
    <w:rsid w:val="00B33DF5"/>
    <w:rsid w:val="00B83B4E"/>
    <w:rsid w:val="00BF0B23"/>
    <w:rsid w:val="00C5397A"/>
    <w:rsid w:val="00C86F95"/>
    <w:rsid w:val="00D060F7"/>
    <w:rsid w:val="00D93023"/>
    <w:rsid w:val="00E216D7"/>
    <w:rsid w:val="00E8390C"/>
    <w:rsid w:val="00F12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E216D7"/>
    <w:pPr>
      <w:keepNext/>
      <w:widowControl/>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216D7"/>
    <w:pPr>
      <w:keepNext/>
      <w:widowControl/>
      <w:spacing w:before="480" w:after="12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E216D7"/>
    <w:pPr>
      <w:keepNext/>
      <w:widowControl/>
      <w:spacing w:before="120" w:after="120" w:line="240" w:lineRule="auto"/>
      <w:outlineLvl w:val="2"/>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6D7"/>
    <w:rPr>
      <w:rFonts w:ascii="Arial" w:eastAsia="Times New Roman" w:hAnsi="Arial" w:cs="Arial"/>
      <w:b/>
      <w:bCs/>
      <w:kern w:val="32"/>
      <w:sz w:val="32"/>
      <w:szCs w:val="32"/>
    </w:rPr>
  </w:style>
  <w:style w:type="character" w:customStyle="1" w:styleId="Heading2Char">
    <w:name w:val="Heading 2 Char"/>
    <w:basedOn w:val="DefaultParagraphFont"/>
    <w:link w:val="Heading2"/>
    <w:rsid w:val="00E216D7"/>
    <w:rPr>
      <w:rFonts w:ascii="Arial" w:eastAsia="Times New Roman" w:hAnsi="Arial" w:cs="Arial"/>
      <w:b/>
      <w:bCs/>
      <w:iCs/>
      <w:sz w:val="24"/>
      <w:szCs w:val="28"/>
    </w:rPr>
  </w:style>
  <w:style w:type="character" w:customStyle="1" w:styleId="Heading3Char">
    <w:name w:val="Heading 3 Char"/>
    <w:basedOn w:val="DefaultParagraphFont"/>
    <w:link w:val="Heading3"/>
    <w:rsid w:val="00E216D7"/>
    <w:rPr>
      <w:rFonts w:ascii="Arial" w:eastAsia="Times New Roman" w:hAnsi="Arial" w:cs="Times New Roman"/>
      <w:b/>
      <w:bCs/>
      <w:sz w:val="20"/>
      <w:szCs w:val="24"/>
    </w:rPr>
  </w:style>
  <w:style w:type="paragraph" w:customStyle="1" w:styleId="Normalnumbered">
    <w:name w:val="Normal numbered"/>
    <w:basedOn w:val="Normal"/>
    <w:rsid w:val="00E216D7"/>
    <w:pPr>
      <w:widowControl/>
      <w:numPr>
        <w:numId w:val="1"/>
      </w:numPr>
      <w:spacing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216D7"/>
    <w:pPr>
      <w:widowControl/>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16D7"/>
    <w:rPr>
      <w:rFonts w:ascii="Times New Roman" w:eastAsia="Times New Roman" w:hAnsi="Times New Roman" w:cs="Times New Roman"/>
      <w:sz w:val="24"/>
      <w:szCs w:val="24"/>
    </w:rPr>
  </w:style>
  <w:style w:type="character" w:styleId="Hyperlink">
    <w:name w:val="Hyperlink"/>
    <w:basedOn w:val="DefaultParagraphFont"/>
    <w:rsid w:val="00E216D7"/>
    <w:rPr>
      <w:color w:val="0000FF"/>
      <w:u w:val="single"/>
    </w:rPr>
  </w:style>
  <w:style w:type="paragraph" w:customStyle="1" w:styleId="contactheading">
    <w:name w:val="contact heading"/>
    <w:basedOn w:val="Heading2"/>
    <w:rsid w:val="00E216D7"/>
    <w:pPr>
      <w:spacing w:before="120"/>
    </w:pPr>
    <w:rPr>
      <w:rFonts w:ascii="Times New Roman" w:hAnsi="Times New Roman"/>
    </w:rPr>
  </w:style>
  <w:style w:type="character" w:customStyle="1" w:styleId="pseditboxdisponly">
    <w:name w:val="pseditbox_disponly"/>
    <w:basedOn w:val="DefaultParagraphFont"/>
    <w:rsid w:val="00E216D7"/>
  </w:style>
  <w:style w:type="paragraph" w:styleId="Header">
    <w:name w:val="header"/>
    <w:basedOn w:val="Normal"/>
    <w:link w:val="HeaderChar"/>
    <w:uiPriority w:val="99"/>
    <w:semiHidden/>
    <w:unhideWhenUsed/>
    <w:rsid w:val="00E216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16D7"/>
  </w:style>
  <w:style w:type="paragraph" w:styleId="Footer">
    <w:name w:val="footer"/>
    <w:basedOn w:val="Normal"/>
    <w:link w:val="FooterChar"/>
    <w:uiPriority w:val="99"/>
    <w:unhideWhenUsed/>
    <w:rsid w:val="00E21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6D7"/>
  </w:style>
  <w:style w:type="paragraph" w:customStyle="1" w:styleId="Tabletext">
    <w:name w:val="Table text"/>
    <w:next w:val="Normal"/>
    <w:rsid w:val="00AD1406"/>
    <w:pPr>
      <w:widowControl/>
      <w:spacing w:before="60" w:after="6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AD1406"/>
    <w:pPr>
      <w:widowControl/>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D140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jsu.edu/at/ec/canvas/student_resources/index.html" TargetMode="External"/><Relationship Id="rId13" Type="http://schemas.openxmlformats.org/officeDocument/2006/relationships/hyperlink" Target="http://dev.sjsu.edu/studentconduc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su.instructure.com" TargetMode="External"/><Relationship Id="rId12" Type="http://schemas.openxmlformats.org/officeDocument/2006/relationships/hyperlink" Target="http://www.sjsu.edu/senate/S07-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ars/policies/latedrops/policy/" TargetMode="External"/><Relationship Id="rId5" Type="http://schemas.openxmlformats.org/officeDocument/2006/relationships/footnotes" Target="footnotes.xml"/><Relationship Id="rId15" Type="http://schemas.openxmlformats.org/officeDocument/2006/relationships/hyperlink" Target="http://www.sjsu.edu/writingcenter/about/staff/" TargetMode="External"/><Relationship Id="rId10" Type="http://schemas.openxmlformats.org/officeDocument/2006/relationships/hyperlink" Target="http://www.sjsu.edu/academic_programs/calendars/academic_calendar/" TargetMode="External"/><Relationship Id="rId4" Type="http://schemas.openxmlformats.org/officeDocument/2006/relationships/webSettings" Target="webSettings.xml"/><Relationship Id="rId9" Type="http://schemas.openxmlformats.org/officeDocument/2006/relationships/hyperlink" Target="http://info.sjsu.edu/static/catalog/policies.html" TargetMode="External"/><Relationship Id="rId14" Type="http://schemas.openxmlformats.org/officeDocument/2006/relationships/hyperlink" Target="http://www.drc.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greensheet-me211-Fall2011.doc</vt:lpstr>
    </vt:vector>
  </TitlesOfParts>
  <Company/>
  <LinksUpToDate>false</LinksUpToDate>
  <CharactersWithSpaces>11218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greensheet-me211-Fall2011.doc</dc:title>
  <dc:creator>sjcyshab</dc:creator>
  <cp:lastModifiedBy>Administrator</cp:lastModifiedBy>
  <cp:revision>6</cp:revision>
  <dcterms:created xsi:type="dcterms:W3CDTF">2013-01-11T18:57:00Z</dcterms:created>
  <dcterms:modified xsi:type="dcterms:W3CDTF">2013-01-23T20:08:00Z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2011-08-05T00:00:00Z</vt:filetime>
  </property>
  <property fmtid="{D5CDD505-2E9C-101B-9397-08002B2CF9AE}" pid="3" name="LastSaved">
    <vt:filetime>2012-12-07T00:00:00Z</vt:filetime>
  </property>
</Properties>
</file>