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8DB16E" w14:textId="0F74F80B" w:rsidR="00DE60AB" w:rsidRPr="00DE60AB" w:rsidRDefault="00DE60AB" w:rsidP="00DE60A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auto"/>
          <w:kern w:val="32"/>
          <w:sz w:val="32"/>
          <w:szCs w:val="32"/>
        </w:rPr>
      </w:pPr>
      <w:bookmarkStart w:id="0" w:name="_Hlk518221059"/>
      <w:bookmarkStart w:id="1" w:name="_Hlk48055794"/>
      <w:r w:rsidRPr="00DE60AB">
        <w:rPr>
          <w:rFonts w:ascii="Times New Roman" w:eastAsia="Times New Roman" w:hAnsi="Times New Roman" w:cs="Arial"/>
          <w:b/>
          <w:bCs/>
          <w:color w:val="auto"/>
          <w:kern w:val="32"/>
          <w:sz w:val="32"/>
          <w:szCs w:val="32"/>
        </w:rPr>
        <w:t>San José State University</w:t>
      </w:r>
      <w:r w:rsidRPr="00DE60AB">
        <w:rPr>
          <w:rFonts w:ascii="Times New Roman" w:eastAsia="Times New Roman" w:hAnsi="Times New Roman" w:cs="Arial"/>
          <w:b/>
          <w:bCs/>
          <w:color w:val="auto"/>
          <w:kern w:val="32"/>
          <w:sz w:val="32"/>
          <w:szCs w:val="32"/>
        </w:rPr>
        <w:br/>
        <w:t>College of Health and Human Sciences</w:t>
      </w:r>
      <w:r w:rsidRPr="00DE60AB">
        <w:rPr>
          <w:rFonts w:ascii="Times New Roman" w:eastAsia="Times New Roman" w:hAnsi="Times New Roman" w:cs="Arial"/>
          <w:b/>
          <w:bCs/>
          <w:color w:val="auto"/>
          <w:kern w:val="32"/>
          <w:sz w:val="32"/>
          <w:szCs w:val="32"/>
        </w:rPr>
        <w:br/>
        <w:t>The Valley Foundation School of Nursing</w:t>
      </w:r>
      <w:r w:rsidRPr="00DE60AB">
        <w:rPr>
          <w:rFonts w:ascii="Times New Roman" w:eastAsia="Times New Roman" w:hAnsi="Times New Roman" w:cs="Arial"/>
          <w:b/>
          <w:bCs/>
          <w:color w:val="auto"/>
          <w:kern w:val="32"/>
          <w:sz w:val="32"/>
          <w:szCs w:val="32"/>
        </w:rPr>
        <w:br/>
        <w:t>NURS 180 INDIVIDUAL STUDIES (1-4 units)</w:t>
      </w:r>
      <w:r w:rsidRPr="00DE60AB">
        <w:rPr>
          <w:rFonts w:ascii="Times New Roman" w:eastAsia="Times New Roman" w:hAnsi="Times New Roman" w:cs="Arial"/>
          <w:b/>
          <w:bCs/>
          <w:color w:val="auto"/>
          <w:kern w:val="32"/>
          <w:sz w:val="32"/>
          <w:szCs w:val="32"/>
        </w:rPr>
        <w:br/>
      </w:r>
      <w:bookmarkStart w:id="2" w:name="_Hlk48058489"/>
      <w:bookmarkEnd w:id="0"/>
      <w:r w:rsidR="006249AC">
        <w:rPr>
          <w:rFonts w:ascii="Times New Roman" w:eastAsia="Times New Roman" w:hAnsi="Times New Roman" w:cs="Arial"/>
          <w:b/>
          <w:bCs/>
          <w:color w:val="auto"/>
          <w:kern w:val="32"/>
          <w:sz w:val="32"/>
          <w:szCs w:val="32"/>
        </w:rPr>
        <w:t xml:space="preserve">Course </w:t>
      </w:r>
      <w:bookmarkStart w:id="3" w:name="_GoBack"/>
      <w:bookmarkEnd w:id="3"/>
      <w:r>
        <w:rPr>
          <w:rFonts w:ascii="Times New Roman" w:eastAsia="Times New Roman" w:hAnsi="Times New Roman" w:cs="Arial"/>
          <w:b/>
          <w:bCs/>
          <w:color w:val="auto"/>
          <w:kern w:val="32"/>
          <w:sz w:val="32"/>
          <w:szCs w:val="32"/>
        </w:rPr>
        <w:t>Information</w:t>
      </w:r>
    </w:p>
    <w:bookmarkEnd w:id="1"/>
    <w:p w14:paraId="1DDCB90E" w14:textId="77777777" w:rsidR="00DE60AB" w:rsidRPr="00DE60AB" w:rsidRDefault="00DE60AB" w:rsidP="00DE60A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2"/>
    <w:p w14:paraId="088D328B" w14:textId="1FBE929C" w:rsidR="000956FD" w:rsidRDefault="0024096B" w:rsidP="00DE60AB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u w:val="single"/>
        </w:rPr>
      </w:pPr>
      <w:r w:rsidRPr="00557DD8">
        <w:rPr>
          <w:rFonts w:ascii="Times New Roman" w:eastAsia="Arial Narrow" w:hAnsi="Times New Roman" w:cs="Times New Roman"/>
          <w:b/>
          <w:sz w:val="24"/>
          <w:szCs w:val="24"/>
        </w:rPr>
        <w:t>General Information: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>Nursing students can earn N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URS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>180 units by working in the skills lab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or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>simulation lab</w:t>
      </w:r>
      <w:r w:rsidR="00557DD8">
        <w:rPr>
          <w:rFonts w:ascii="Times New Roman" w:eastAsia="Arial Narrow" w:hAnsi="Times New Roman" w:cs="Times New Roman"/>
          <w:sz w:val="24"/>
          <w:szCs w:val="24"/>
        </w:rPr>
        <w:t xml:space="preserve"> or students may work with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individual faculty on research or other projects.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Each </w:t>
      </w:r>
      <w:r w:rsidR="00557DD8">
        <w:rPr>
          <w:rFonts w:ascii="Times New Roman" w:eastAsia="Arial Narrow" w:hAnsi="Times New Roman" w:cs="Times New Roman"/>
          <w:sz w:val="24"/>
          <w:szCs w:val="24"/>
        </w:rPr>
        <w:t xml:space="preserve">one (1)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unit consists of </w:t>
      </w:r>
      <w:r w:rsidR="00557DD8">
        <w:rPr>
          <w:rFonts w:ascii="Times New Roman" w:eastAsia="Arial Narrow" w:hAnsi="Times New Roman" w:cs="Times New Roman"/>
          <w:sz w:val="24"/>
          <w:szCs w:val="24"/>
        </w:rPr>
        <w:t>three (3)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hours per week</w:t>
      </w:r>
      <w:r w:rsidR="00557DD8">
        <w:rPr>
          <w:rFonts w:ascii="Times New Roman" w:eastAsia="Arial Narrow" w:hAnsi="Times New Roman" w:cs="Times New Roman"/>
          <w:sz w:val="24"/>
          <w:szCs w:val="24"/>
        </w:rPr>
        <w:t xml:space="preserve"> (e.g.,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1 unit = 45 hours; 2 units = 90 hours, </w:t>
      </w:r>
      <w:r w:rsidR="00DE60AB" w:rsidRPr="00557DD8">
        <w:rPr>
          <w:rFonts w:ascii="Times New Roman" w:eastAsia="Arial Narrow" w:hAnsi="Times New Roman" w:cs="Times New Roman"/>
          <w:sz w:val="24"/>
          <w:szCs w:val="24"/>
        </w:rPr>
        <w:t>etc</w:t>
      </w:r>
      <w:r w:rsidR="00DE60AB">
        <w:rPr>
          <w:rFonts w:ascii="Times New Roman" w:eastAsia="Arial Narrow" w:hAnsi="Times New Roman" w:cs="Times New Roman"/>
          <w:sz w:val="24"/>
          <w:szCs w:val="24"/>
        </w:rPr>
        <w:t>.</w:t>
      </w:r>
      <w:r w:rsidR="00557DD8">
        <w:rPr>
          <w:rFonts w:ascii="Times New Roman" w:eastAsia="Arial Narrow" w:hAnsi="Times New Roman" w:cs="Times New Roman"/>
          <w:sz w:val="24"/>
          <w:szCs w:val="24"/>
        </w:rPr>
        <w:t>).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All students will need to complete and submit a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NURS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180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>Syllabus</w:t>
      </w:r>
      <w:r w:rsidR="00DE60AB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Contract </w:t>
      </w:r>
      <w:r w:rsidR="00557DD8">
        <w:rPr>
          <w:rFonts w:ascii="Times New Roman" w:eastAsia="Arial Narrow" w:hAnsi="Times New Roman" w:cs="Times New Roman"/>
          <w:sz w:val="24"/>
          <w:szCs w:val="24"/>
        </w:rPr>
        <w:t xml:space="preserve">form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>and email it to</w:t>
      </w:r>
      <w:r w:rsidR="00557DD8">
        <w:rPr>
          <w:rFonts w:ascii="Times New Roman" w:eastAsia="Arial Narrow" w:hAnsi="Times New Roman" w:cs="Times New Roman"/>
          <w:sz w:val="24"/>
          <w:szCs w:val="24"/>
        </w:rPr>
        <w:t xml:space="preserve"> both Isela Garcia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hyperlink r:id="rId4" w:history="1">
        <w:r w:rsidR="00BB5244" w:rsidRPr="00557DD8">
          <w:rPr>
            <w:rStyle w:val="Hyperlink"/>
            <w:rFonts w:ascii="Times New Roman" w:eastAsia="Arial Narrow" w:hAnsi="Times New Roman" w:cs="Times New Roman"/>
            <w:sz w:val="24"/>
            <w:szCs w:val="24"/>
          </w:rPr>
          <w:t>Isela.Garcia@sjsu.edu</w:t>
        </w:r>
      </w:hyperlink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and</w:t>
      </w:r>
      <w:r w:rsidR="00557DD8">
        <w:rPr>
          <w:rFonts w:ascii="Times New Roman" w:eastAsia="Arial Narrow" w:hAnsi="Times New Roman" w:cs="Times New Roman"/>
          <w:sz w:val="24"/>
          <w:szCs w:val="24"/>
        </w:rPr>
        <w:t xml:space="preserve"> Allie </w:t>
      </w:r>
      <w:proofErr w:type="spellStart"/>
      <w:r w:rsidR="00557DD8">
        <w:rPr>
          <w:rFonts w:ascii="Times New Roman" w:eastAsia="Arial Narrow" w:hAnsi="Times New Roman" w:cs="Times New Roman"/>
          <w:sz w:val="24"/>
          <w:szCs w:val="24"/>
        </w:rPr>
        <w:t>Butzlaff</w:t>
      </w:r>
      <w:proofErr w:type="spellEnd"/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hyperlink r:id="rId5" w:history="1">
        <w:r w:rsidR="00BB5244" w:rsidRPr="00557DD8">
          <w:rPr>
            <w:rStyle w:val="Hyperlink"/>
            <w:rFonts w:ascii="Times New Roman" w:eastAsia="Arial Narrow" w:hAnsi="Times New Roman" w:cs="Times New Roman"/>
            <w:sz w:val="24"/>
            <w:szCs w:val="24"/>
          </w:rPr>
          <w:t>Alice.Butzlaff@sjsu.edu</w:t>
        </w:r>
      </w:hyperlink>
      <w:r w:rsidRPr="00557DD8">
        <w:rPr>
          <w:rFonts w:ascii="Times New Roman" w:eastAsia="Arial Narrow" w:hAnsi="Times New Roman" w:cs="Times New Roman"/>
          <w:sz w:val="24"/>
          <w:szCs w:val="24"/>
        </w:rPr>
        <w:t>.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You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will receive an ADD CODE from Isela Garcia and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>may sign up for any N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URS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180 units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>after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the first day of the semester.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  <w:u w:val="single"/>
        </w:rPr>
        <w:t>Please be patient when waiting for your ADD CODE</w:t>
      </w:r>
      <w:r w:rsidR="00557DD8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as the nursing program</w:t>
      </w:r>
      <w:r w:rsidR="00BB5244" w:rsidRPr="00557DD8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</w:t>
      </w:r>
      <w:r w:rsidR="00557DD8">
        <w:rPr>
          <w:rFonts w:ascii="Times New Roman" w:eastAsia="Arial Narrow" w:hAnsi="Times New Roman" w:cs="Times New Roman"/>
          <w:sz w:val="24"/>
          <w:szCs w:val="24"/>
          <w:u w:val="single"/>
        </w:rPr>
        <w:t>has</w:t>
      </w:r>
      <w:r w:rsidR="00BB5244" w:rsidRPr="00557DD8">
        <w:rPr>
          <w:rFonts w:ascii="Times New Roman" w:eastAsia="Arial Narrow" w:hAnsi="Times New Roman" w:cs="Times New Roman"/>
          <w:sz w:val="24"/>
          <w:szCs w:val="24"/>
          <w:u w:val="single"/>
        </w:rPr>
        <w:t xml:space="preserve"> never missed adding anyone.</w:t>
      </w:r>
    </w:p>
    <w:p w14:paraId="30C48445" w14:textId="77777777" w:rsidR="00DE60AB" w:rsidRPr="00557DD8" w:rsidRDefault="00DE60AB" w:rsidP="00DE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8C4C8" w14:textId="7E131EFC" w:rsidR="000956FD" w:rsidRDefault="0024096B" w:rsidP="00DE60AB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557DD8">
        <w:rPr>
          <w:rFonts w:ascii="Times New Roman" w:eastAsia="Arial Narrow" w:hAnsi="Times New Roman" w:cs="Times New Roman"/>
          <w:b/>
          <w:sz w:val="24"/>
          <w:szCs w:val="24"/>
        </w:rPr>
        <w:t>Skills/Simulation/ANS Ace It Tutor: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If you want to work in any of these areas,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>please write it on your Syllabus C</w:t>
      </w:r>
      <w:r w:rsidR="00367C47" w:rsidRPr="00557DD8">
        <w:rPr>
          <w:rFonts w:ascii="Times New Roman" w:eastAsia="Arial Narrow" w:hAnsi="Times New Roman" w:cs="Times New Roman"/>
          <w:sz w:val="24"/>
          <w:szCs w:val="24"/>
        </w:rPr>
        <w:t>ont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>ract</w:t>
      </w:r>
      <w:r w:rsidR="00557DD8">
        <w:rPr>
          <w:rFonts w:ascii="Times New Roman" w:eastAsia="Arial Narrow" w:hAnsi="Times New Roman" w:cs="Times New Roman"/>
          <w:sz w:val="24"/>
          <w:szCs w:val="24"/>
        </w:rPr>
        <w:t xml:space="preserve"> form as a list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.  Send your form to </w:t>
      </w:r>
      <w:hyperlink r:id="rId6" w:history="1">
        <w:r w:rsidR="00BB5244" w:rsidRPr="00557DD8">
          <w:rPr>
            <w:rStyle w:val="Hyperlink"/>
            <w:rFonts w:ascii="Times New Roman" w:eastAsia="Arial Narrow" w:hAnsi="Times New Roman" w:cs="Times New Roman"/>
            <w:sz w:val="24"/>
            <w:szCs w:val="24"/>
          </w:rPr>
          <w:t>Isela.Garcia@sjsu.edu</w:t>
        </w:r>
      </w:hyperlink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and </w:t>
      </w:r>
      <w:hyperlink r:id="rId7" w:history="1">
        <w:r w:rsidR="00BB5244" w:rsidRPr="00557DD8">
          <w:rPr>
            <w:rStyle w:val="Hyperlink"/>
            <w:rFonts w:ascii="Times New Roman" w:eastAsia="Arial Narrow" w:hAnsi="Times New Roman" w:cs="Times New Roman"/>
            <w:sz w:val="24"/>
            <w:szCs w:val="24"/>
          </w:rPr>
          <w:t>Alice.Butzlaff@sjsu.edu</w:t>
        </w:r>
      </w:hyperlink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.  Alice </w:t>
      </w:r>
      <w:proofErr w:type="spellStart"/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>Butzlaff</w:t>
      </w:r>
      <w:proofErr w:type="spellEnd"/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 will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determine which areas are </w:t>
      </w:r>
      <w:r w:rsidR="00DE60AB" w:rsidRPr="00557DD8">
        <w:rPr>
          <w:rFonts w:ascii="Times New Roman" w:eastAsia="Arial Narrow" w:hAnsi="Times New Roman" w:cs="Times New Roman"/>
          <w:sz w:val="24"/>
          <w:szCs w:val="24"/>
        </w:rPr>
        <w:t>available and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will work with you to find something that works for your schedule, and the needs of the nursing program.</w:t>
      </w:r>
    </w:p>
    <w:p w14:paraId="3E98942C" w14:textId="77777777" w:rsidR="00DE60AB" w:rsidRPr="00557DD8" w:rsidRDefault="00DE60AB" w:rsidP="00DE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DF0F0" w14:textId="7E7921BD" w:rsidR="000956FD" w:rsidRDefault="0024096B" w:rsidP="00DE60AB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bookmarkStart w:id="4" w:name="_gjdgxs" w:colFirst="0" w:colLast="0"/>
      <w:bookmarkEnd w:id="4"/>
      <w:r w:rsidRPr="00557DD8">
        <w:rPr>
          <w:rFonts w:ascii="Times New Roman" w:eastAsia="Arial Narrow" w:hAnsi="Times New Roman" w:cs="Times New Roman"/>
          <w:b/>
          <w:sz w:val="24"/>
          <w:szCs w:val="24"/>
        </w:rPr>
        <w:t>Faculty Research and Projects: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4C6646" w:rsidRPr="00557DD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>If you are working with an individual faculty member on research or projects, you will fill out an N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URS 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180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Syllabus Contract </w:t>
      </w:r>
      <w:r w:rsidR="00557DD8">
        <w:rPr>
          <w:rFonts w:ascii="Times New Roman" w:eastAsia="Arial Narrow" w:hAnsi="Times New Roman" w:cs="Times New Roman"/>
          <w:sz w:val="24"/>
          <w:szCs w:val="24"/>
        </w:rPr>
        <w:t xml:space="preserve">form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>and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 xml:space="preserve"> consult with them for specifics about the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 xml:space="preserve">course objectives.  All objectives are </w:t>
      </w:r>
      <w:r w:rsidR="00A509C0" w:rsidRPr="00557DD8">
        <w:rPr>
          <w:rFonts w:ascii="Times New Roman" w:eastAsia="Arial Narrow" w:hAnsi="Times New Roman" w:cs="Times New Roman"/>
          <w:sz w:val="24"/>
          <w:szCs w:val="24"/>
        </w:rPr>
        <w:t xml:space="preserve">to be attached to </w:t>
      </w:r>
      <w:r w:rsidR="00BB5244" w:rsidRPr="00557DD8">
        <w:rPr>
          <w:rFonts w:ascii="Times New Roman" w:eastAsia="Arial Narrow" w:hAnsi="Times New Roman" w:cs="Times New Roman"/>
          <w:sz w:val="24"/>
          <w:szCs w:val="24"/>
        </w:rPr>
        <w:t>your NURS Syllabus Contract</w:t>
      </w:r>
      <w:r w:rsidR="004C6646" w:rsidRPr="00557DD8">
        <w:rPr>
          <w:rFonts w:ascii="Times New Roman" w:eastAsia="Arial Narrow" w:hAnsi="Times New Roman" w:cs="Times New Roman"/>
          <w:sz w:val="24"/>
          <w:szCs w:val="24"/>
        </w:rPr>
        <w:t xml:space="preserve"> before the end of the semester</w:t>
      </w:r>
      <w:r w:rsidRPr="00557DD8">
        <w:rPr>
          <w:rFonts w:ascii="Times New Roman" w:eastAsia="Arial Narrow" w:hAnsi="Times New Roman" w:cs="Times New Roman"/>
          <w:sz w:val="24"/>
          <w:szCs w:val="24"/>
        </w:rPr>
        <w:t>.</w:t>
      </w:r>
    </w:p>
    <w:p w14:paraId="5ED06844" w14:textId="77777777" w:rsidR="00DE60AB" w:rsidRPr="00557DD8" w:rsidRDefault="00DE60AB" w:rsidP="00DE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40"/>
        <w:gridCol w:w="3146"/>
        <w:gridCol w:w="3146"/>
        <w:gridCol w:w="3148"/>
      </w:tblGrid>
      <w:tr w:rsidR="00A509C0" w:rsidRPr="00557DD8" w14:paraId="35A74787" w14:textId="77777777" w:rsidTr="00DE60AB">
        <w:trPr>
          <w:trHeight w:val="20"/>
        </w:trPr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0E05C" w14:textId="32496A71" w:rsidR="00A509C0" w:rsidRPr="00DE60AB" w:rsidRDefault="00557DD8" w:rsidP="00DE6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Objectives</w:t>
            </w:r>
          </w:p>
        </w:tc>
        <w:tc>
          <w:tcPr>
            <w:tcW w:w="145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BF39B" w14:textId="4E7E34CE" w:rsidR="00A509C0" w:rsidRPr="00DE60AB" w:rsidRDefault="00A509C0" w:rsidP="00DE6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  <w:t>Skills</w:t>
            </w:r>
          </w:p>
        </w:tc>
        <w:tc>
          <w:tcPr>
            <w:tcW w:w="145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D450B" w14:textId="77777777" w:rsidR="00A509C0" w:rsidRPr="00DE60AB" w:rsidRDefault="00A509C0" w:rsidP="00DE6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  <w:t>Simulation</w:t>
            </w:r>
          </w:p>
        </w:tc>
        <w:tc>
          <w:tcPr>
            <w:tcW w:w="146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225F8" w14:textId="77777777" w:rsidR="00A509C0" w:rsidRPr="00DE60AB" w:rsidRDefault="00A509C0" w:rsidP="00DE6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b/>
                <w:color w:val="auto"/>
                <w:sz w:val="24"/>
                <w:szCs w:val="24"/>
              </w:rPr>
              <w:t>ANS Ace It Tutor</w:t>
            </w:r>
          </w:p>
        </w:tc>
      </w:tr>
      <w:tr w:rsidR="00A509C0" w:rsidRPr="00557DD8" w14:paraId="42D15FF3" w14:textId="77777777" w:rsidTr="00DE60AB">
        <w:trPr>
          <w:trHeight w:val="20"/>
        </w:trPr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D4DD" w14:textId="4F89FD7D" w:rsidR="00A509C0" w:rsidRPr="00DE60AB" w:rsidRDefault="00557DD8" w:rsidP="00DE6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4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25C8" w14:textId="380C3AA2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Examine the effectiveness for teaching/learning psychomotor skills.</w:t>
            </w:r>
          </w:p>
        </w:tc>
        <w:tc>
          <w:tcPr>
            <w:tcW w:w="14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6177" w14:textId="13885BE2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Examine the influence of simulation on the education of nursing students.</w:t>
            </w:r>
          </w:p>
        </w:tc>
        <w:tc>
          <w:tcPr>
            <w:tcW w:w="1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A2CD" w14:textId="77777777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Promote an environment to facilitate deep understanding and application of the learning material introduced in the TVFSON curriculum.</w:t>
            </w:r>
          </w:p>
        </w:tc>
      </w:tr>
      <w:tr w:rsidR="00A509C0" w:rsidRPr="00557DD8" w14:paraId="0C704BA9" w14:textId="77777777" w:rsidTr="00DE60AB">
        <w:trPr>
          <w:trHeight w:val="20"/>
        </w:trPr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C012" w14:textId="7BCE861D" w:rsidR="00A509C0" w:rsidRPr="00DE60AB" w:rsidRDefault="00557DD8" w:rsidP="00DE6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27B5" w14:textId="44CD5024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Assist faculty with organization and cleanliness of the skills lab.</w:t>
            </w:r>
          </w:p>
        </w:tc>
        <w:tc>
          <w:tcPr>
            <w:tcW w:w="14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1C20" w14:textId="7139A8AB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Assist faculty and staff with the set up and implementation of simulation scenarios.</w:t>
            </w:r>
          </w:p>
        </w:tc>
        <w:tc>
          <w:tcPr>
            <w:tcW w:w="1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C294" w14:textId="77777777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highlight w:val="white"/>
              </w:rPr>
              <w:t>Help foster educational growth of fellow nursing students by expanding nursing literacy.</w:t>
            </w:r>
          </w:p>
        </w:tc>
      </w:tr>
      <w:tr w:rsidR="00A509C0" w:rsidRPr="00557DD8" w14:paraId="7B483152" w14:textId="77777777" w:rsidTr="00DE60AB">
        <w:trPr>
          <w:trHeight w:val="20"/>
        </w:trPr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4618" w14:textId="3CFC0158" w:rsidR="00A509C0" w:rsidRPr="00DE60AB" w:rsidRDefault="00557DD8" w:rsidP="00DE6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4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ED4C" w14:textId="77777777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Mentor and educate students in earlier semesters of the nursing program.</w:t>
            </w:r>
          </w:p>
        </w:tc>
        <w:tc>
          <w:tcPr>
            <w:tcW w:w="14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49A3" w14:textId="7FC1916A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Facilitate nursing student education by assisting faculty with simulation needs.</w:t>
            </w:r>
          </w:p>
        </w:tc>
        <w:tc>
          <w:tcPr>
            <w:tcW w:w="1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98DD" w14:textId="77777777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highlight w:val="white"/>
              </w:rPr>
              <w:t>Commit to 45 hours/semester in tutoring sessions in either group session(s) or individual session(s).</w:t>
            </w:r>
          </w:p>
        </w:tc>
      </w:tr>
      <w:tr w:rsidR="00A509C0" w:rsidRPr="00557DD8" w14:paraId="1C276C95" w14:textId="77777777" w:rsidTr="00DE60AB">
        <w:trPr>
          <w:trHeight w:val="20"/>
        </w:trPr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0B3B" w14:textId="2ACC5BB8" w:rsidR="00A509C0" w:rsidRPr="00DE60AB" w:rsidRDefault="00557DD8" w:rsidP="00DE6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60A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4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9466" w14:textId="69CAB62E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Improve personal teaching skills and psychomotor skill proficiency</w:t>
            </w:r>
            <w:r w:rsidR="00557DD8"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EF37" w14:textId="24E3A350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Examine and implement effective strategies for providing constructive feedback.</w:t>
            </w:r>
          </w:p>
        </w:tc>
        <w:tc>
          <w:tcPr>
            <w:tcW w:w="1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D189" w14:textId="77777777" w:rsidR="00A509C0" w:rsidRPr="00DE60AB" w:rsidRDefault="00A509C0" w:rsidP="00DE60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0AB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highlight w:val="white"/>
              </w:rPr>
              <w:t>Share knowledge with fellow nursing students to the best of my ability without compromising academic integrity.</w:t>
            </w:r>
          </w:p>
        </w:tc>
      </w:tr>
    </w:tbl>
    <w:p w14:paraId="2F7D549D" w14:textId="77777777" w:rsidR="000956FD" w:rsidRPr="00557DD8" w:rsidRDefault="000956FD" w:rsidP="00DE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6FD" w:rsidRPr="00557DD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FD"/>
    <w:rsid w:val="000956FD"/>
    <w:rsid w:val="0024096B"/>
    <w:rsid w:val="00367C47"/>
    <w:rsid w:val="004C6646"/>
    <w:rsid w:val="00557DD8"/>
    <w:rsid w:val="006249AC"/>
    <w:rsid w:val="00A509C0"/>
    <w:rsid w:val="00B16F31"/>
    <w:rsid w:val="00B85DB1"/>
    <w:rsid w:val="00BB5244"/>
    <w:rsid w:val="00BD31F4"/>
    <w:rsid w:val="00D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C3A9"/>
  <w15:docId w15:val="{E54E450C-63B2-405C-A66C-9E585932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B5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ce.Butzlaff@sj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ela.Garcia@sjsu.edu" TargetMode="External"/><Relationship Id="rId5" Type="http://schemas.openxmlformats.org/officeDocument/2006/relationships/hyperlink" Target="mailto:Alice.Butzlaff@sjsu.edu" TargetMode="External"/><Relationship Id="rId4" Type="http://schemas.openxmlformats.org/officeDocument/2006/relationships/hyperlink" Target="mailto:Isela.Garcia@sjs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C Velez</dc:creator>
  <cp:lastModifiedBy>Dr B</cp:lastModifiedBy>
  <cp:revision>4</cp:revision>
  <dcterms:created xsi:type="dcterms:W3CDTF">2020-08-13T17:57:00Z</dcterms:created>
  <dcterms:modified xsi:type="dcterms:W3CDTF">2020-08-13T18:41:00Z</dcterms:modified>
</cp:coreProperties>
</file>