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E" w:rsidRPr="00E87A0E" w:rsidRDefault="008621CD" w:rsidP="00E87A0E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E87A0E" w:rsidRPr="00E87A0E">
        <w:rPr>
          <w:b/>
          <w:sz w:val="28"/>
        </w:rPr>
        <w:t>Main Points of What We Read</w:t>
      </w:r>
    </w:p>
    <w:p w:rsidR="00E87A0E" w:rsidRPr="008621CD" w:rsidRDefault="00E87A0E" w:rsidP="00E87A0E">
      <w:pPr>
        <w:pStyle w:val="ListParagraph"/>
        <w:numPr>
          <w:ilvl w:val="0"/>
          <w:numId w:val="1"/>
        </w:numPr>
        <w:rPr>
          <w:sz w:val="22"/>
        </w:rPr>
      </w:pPr>
      <w:r w:rsidRPr="008621CD">
        <w:rPr>
          <w:b/>
          <w:sz w:val="22"/>
        </w:rPr>
        <w:t>All arguments spring from other arguments</w:t>
      </w:r>
      <w:r w:rsidRPr="008621CD">
        <w:rPr>
          <w:sz w:val="22"/>
        </w:rPr>
        <w:t>; therefore, every argument you make should be written with the larger “conversation” in mind, and should incorporat</w:t>
      </w:r>
      <w:r w:rsidR="00A80C7B" w:rsidRPr="008621CD">
        <w:rPr>
          <w:sz w:val="22"/>
        </w:rPr>
        <w:t xml:space="preserve">e </w:t>
      </w:r>
      <w:r w:rsidR="008621CD">
        <w:rPr>
          <w:sz w:val="22"/>
        </w:rPr>
        <w:t>what</w:t>
      </w:r>
      <w:r w:rsidRPr="008621CD">
        <w:rPr>
          <w:sz w:val="22"/>
        </w:rPr>
        <w:t xml:space="preserve"> </w:t>
      </w:r>
      <w:r w:rsidRPr="008621CD">
        <w:rPr>
          <w:b/>
          <w:sz w:val="22"/>
        </w:rPr>
        <w:t>“They Say”</w:t>
      </w:r>
      <w:r w:rsidRPr="008621CD">
        <w:rPr>
          <w:sz w:val="22"/>
        </w:rPr>
        <w:t xml:space="preserve"> </w:t>
      </w:r>
      <w:r w:rsidR="008621CD">
        <w:rPr>
          <w:sz w:val="22"/>
        </w:rPr>
        <w:t xml:space="preserve">into what </w:t>
      </w:r>
      <w:r w:rsidR="008621CD">
        <w:rPr>
          <w:b/>
          <w:sz w:val="22"/>
        </w:rPr>
        <w:t>you say</w:t>
      </w:r>
      <w:r w:rsidRPr="008621CD">
        <w:rPr>
          <w:sz w:val="22"/>
        </w:rPr>
        <w:t xml:space="preserve"> (3).</w:t>
      </w:r>
    </w:p>
    <w:p w:rsidR="00A80C7B" w:rsidRPr="008621CD" w:rsidRDefault="00A80C7B" w:rsidP="00A80C7B">
      <w:pPr>
        <w:pStyle w:val="ListParagraph"/>
        <w:rPr>
          <w:sz w:val="22"/>
        </w:rPr>
      </w:pPr>
    </w:p>
    <w:p w:rsidR="00E87A0E" w:rsidRPr="008621CD" w:rsidRDefault="00E87A0E" w:rsidP="00E87A0E">
      <w:pPr>
        <w:pStyle w:val="ListParagraph"/>
        <w:numPr>
          <w:ilvl w:val="0"/>
          <w:numId w:val="1"/>
        </w:numPr>
        <w:rPr>
          <w:sz w:val="22"/>
        </w:rPr>
      </w:pPr>
      <w:r w:rsidRPr="008621CD">
        <w:rPr>
          <w:b/>
          <w:sz w:val="22"/>
        </w:rPr>
        <w:t xml:space="preserve">Incorporating what “they say” helps answer the “so what? Who cares?” </w:t>
      </w:r>
      <w:r w:rsidRPr="008621CD">
        <w:rPr>
          <w:sz w:val="22"/>
        </w:rPr>
        <w:t xml:space="preserve">question in your </w:t>
      </w:r>
      <w:r w:rsidR="008621CD" w:rsidRPr="008621CD">
        <w:rPr>
          <w:sz w:val="22"/>
        </w:rPr>
        <w:t>reader</w:t>
      </w:r>
      <w:r w:rsidRPr="008621CD">
        <w:rPr>
          <w:sz w:val="22"/>
        </w:rPr>
        <w:t>’s mind.</w:t>
      </w:r>
    </w:p>
    <w:p w:rsidR="00A80C7B" w:rsidRPr="008621CD" w:rsidRDefault="00A80C7B" w:rsidP="00A80C7B">
      <w:pPr>
        <w:pStyle w:val="ListParagraph"/>
        <w:rPr>
          <w:sz w:val="22"/>
        </w:rPr>
      </w:pPr>
    </w:p>
    <w:p w:rsidR="00A80C7B" w:rsidRPr="008621CD" w:rsidRDefault="00A80C7B" w:rsidP="00A80C7B">
      <w:pPr>
        <w:pStyle w:val="ListParagraph"/>
        <w:numPr>
          <w:ilvl w:val="0"/>
          <w:numId w:val="1"/>
        </w:numPr>
        <w:rPr>
          <w:sz w:val="22"/>
        </w:rPr>
      </w:pPr>
      <w:r w:rsidRPr="008621CD">
        <w:rPr>
          <w:b/>
          <w:sz w:val="22"/>
        </w:rPr>
        <w:t xml:space="preserve">Playing it safe with your writing leads to “flat, lifeless” pointless writing </w:t>
      </w:r>
      <w:r w:rsidRPr="008621CD">
        <w:rPr>
          <w:sz w:val="22"/>
        </w:rPr>
        <w:t>(5). So don’t just say what anyone would agree with. What’s the point?</w:t>
      </w:r>
    </w:p>
    <w:p w:rsidR="00A80C7B" w:rsidRPr="008621CD" w:rsidRDefault="00A80C7B" w:rsidP="00A80C7B">
      <w:pPr>
        <w:pStyle w:val="ListParagraph"/>
        <w:rPr>
          <w:sz w:val="22"/>
        </w:rPr>
      </w:pPr>
    </w:p>
    <w:p w:rsidR="00A80C7B" w:rsidRPr="008621CD" w:rsidRDefault="00E87A0E" w:rsidP="00A80C7B">
      <w:pPr>
        <w:pStyle w:val="ListParagraph"/>
        <w:numPr>
          <w:ilvl w:val="0"/>
          <w:numId w:val="1"/>
        </w:numPr>
        <w:rPr>
          <w:sz w:val="22"/>
        </w:rPr>
      </w:pPr>
      <w:r w:rsidRPr="008621CD">
        <w:rPr>
          <w:b/>
          <w:sz w:val="22"/>
        </w:rPr>
        <w:t xml:space="preserve">Avoid the “Closest Cliché” syndrome: </w:t>
      </w:r>
      <w:r w:rsidRPr="008621CD">
        <w:rPr>
          <w:sz w:val="22"/>
        </w:rPr>
        <w:t xml:space="preserve">If you aren’t very careful in your reading, you can misrepresent other writers’ views, substituting a commonplace idea for what they are actually saying, which is likely to be more complex and unusual (153, 33). </w:t>
      </w:r>
    </w:p>
    <w:p w:rsidR="00A80C7B" w:rsidRPr="008621CD" w:rsidRDefault="00A80C7B" w:rsidP="00A80C7B">
      <w:pPr>
        <w:pStyle w:val="ListParagraph"/>
        <w:rPr>
          <w:sz w:val="22"/>
        </w:rPr>
      </w:pPr>
    </w:p>
    <w:p w:rsidR="00A80C7B" w:rsidRPr="008621CD" w:rsidRDefault="00A80C7B" w:rsidP="00A80C7B">
      <w:pPr>
        <w:pStyle w:val="ListParagraph"/>
        <w:numPr>
          <w:ilvl w:val="0"/>
          <w:numId w:val="1"/>
        </w:numPr>
        <w:rPr>
          <w:sz w:val="22"/>
        </w:rPr>
      </w:pPr>
      <w:r w:rsidRPr="008621CD">
        <w:rPr>
          <w:b/>
          <w:sz w:val="22"/>
        </w:rPr>
        <w:t>Use the “believing” game of Peter Elbow</w:t>
      </w:r>
      <w:r w:rsidRPr="008621CD">
        <w:rPr>
          <w:sz w:val="22"/>
        </w:rPr>
        <w:t xml:space="preserve"> to be able to </w:t>
      </w:r>
      <w:r w:rsidRPr="008621CD">
        <w:rPr>
          <w:i/>
          <w:sz w:val="22"/>
        </w:rPr>
        <w:t>fairly</w:t>
      </w:r>
      <w:r w:rsidR="008621CD">
        <w:rPr>
          <w:sz w:val="22"/>
        </w:rPr>
        <w:t xml:space="preserve"> and </w:t>
      </w:r>
      <w:r w:rsidR="008621CD">
        <w:rPr>
          <w:i/>
          <w:sz w:val="22"/>
        </w:rPr>
        <w:t>fully</w:t>
      </w:r>
      <w:r w:rsidRPr="008621CD">
        <w:rPr>
          <w:sz w:val="22"/>
        </w:rPr>
        <w:t xml:space="preserve"> summarize your opponent’s views: “temporarily suspend one’s own convictions” and “inhabit the worldview of those who</w:t>
      </w:r>
      <w:r w:rsidR="008621CD">
        <w:rPr>
          <w:sz w:val="22"/>
        </w:rPr>
        <w:t>se conversation you’re joining</w:t>
      </w:r>
      <w:proofErr w:type="gramStart"/>
      <w:r w:rsidR="008621CD">
        <w:rPr>
          <w:sz w:val="22"/>
        </w:rPr>
        <w:t>”</w:t>
      </w:r>
      <w:r w:rsidRPr="008621CD">
        <w:rPr>
          <w:sz w:val="22"/>
        </w:rPr>
        <w:t>(</w:t>
      </w:r>
      <w:proofErr w:type="gramEnd"/>
      <w:r w:rsidRPr="008621CD">
        <w:rPr>
          <w:sz w:val="22"/>
        </w:rPr>
        <w:t>31</w:t>
      </w:r>
      <w:r w:rsidR="008621CD">
        <w:rPr>
          <w:sz w:val="22"/>
        </w:rPr>
        <w:t>, 86</w:t>
      </w:r>
      <w:r w:rsidRPr="008621CD">
        <w:rPr>
          <w:sz w:val="22"/>
        </w:rPr>
        <w:t>).</w:t>
      </w:r>
      <w:r w:rsidR="008621CD">
        <w:rPr>
          <w:sz w:val="22"/>
        </w:rPr>
        <w:t xml:space="preserve"> </w:t>
      </w:r>
    </w:p>
    <w:p w:rsidR="00A80C7B" w:rsidRPr="008621CD" w:rsidRDefault="00A80C7B" w:rsidP="00A80C7B">
      <w:pPr>
        <w:pStyle w:val="ListParagraph"/>
        <w:rPr>
          <w:sz w:val="22"/>
        </w:rPr>
      </w:pPr>
    </w:p>
    <w:p w:rsidR="00A80C7B" w:rsidRPr="008621CD" w:rsidRDefault="00A80C7B" w:rsidP="00A80C7B">
      <w:pPr>
        <w:pStyle w:val="ListParagraph"/>
        <w:numPr>
          <w:ilvl w:val="0"/>
          <w:numId w:val="1"/>
        </w:numPr>
        <w:rPr>
          <w:sz w:val="22"/>
        </w:rPr>
      </w:pPr>
      <w:r w:rsidRPr="008621CD">
        <w:rPr>
          <w:b/>
          <w:sz w:val="22"/>
        </w:rPr>
        <w:t>It is crucial to “connect the parts”—strive for coherence in your argument—</w:t>
      </w:r>
      <w:r w:rsidRPr="008621CD">
        <w:rPr>
          <w:sz w:val="22"/>
        </w:rPr>
        <w:t xml:space="preserve">to give your argument momentum, direction, flow, and to ensure that you have an argument, not just an unconnected pile of observations (107-111). One achieves this with </w:t>
      </w:r>
      <w:r w:rsidRPr="008621CD">
        <w:rPr>
          <w:b/>
          <w:sz w:val="22"/>
        </w:rPr>
        <w:t xml:space="preserve">transitions </w:t>
      </w:r>
      <w:r w:rsidRPr="008621CD">
        <w:rPr>
          <w:sz w:val="22"/>
        </w:rPr>
        <w:t>(108),</w:t>
      </w:r>
      <w:r w:rsidRPr="008621CD">
        <w:rPr>
          <w:b/>
          <w:sz w:val="22"/>
        </w:rPr>
        <w:t xml:space="preserve"> “pointing words” </w:t>
      </w:r>
      <w:r w:rsidRPr="008621CD">
        <w:rPr>
          <w:sz w:val="22"/>
        </w:rPr>
        <w:t>(112),</w:t>
      </w:r>
      <w:r w:rsidRPr="008621CD">
        <w:rPr>
          <w:b/>
          <w:sz w:val="22"/>
        </w:rPr>
        <w:t xml:space="preserve"> repetition of key terms and phrases </w:t>
      </w:r>
      <w:r w:rsidRPr="008621CD">
        <w:rPr>
          <w:sz w:val="22"/>
        </w:rPr>
        <w:t>(114),</w:t>
      </w:r>
      <w:r w:rsidRPr="008621CD">
        <w:rPr>
          <w:b/>
          <w:sz w:val="22"/>
        </w:rPr>
        <w:t xml:space="preserve"> </w:t>
      </w:r>
      <w:proofErr w:type="gramStart"/>
      <w:r w:rsidRPr="008621CD">
        <w:rPr>
          <w:b/>
          <w:sz w:val="22"/>
        </w:rPr>
        <w:t>repetition</w:t>
      </w:r>
      <w:proofErr w:type="gramEnd"/>
      <w:r w:rsidRPr="008621CD">
        <w:rPr>
          <w:b/>
          <w:sz w:val="22"/>
        </w:rPr>
        <w:t xml:space="preserve"> with variation </w:t>
      </w:r>
      <w:r w:rsidRPr="008621CD">
        <w:rPr>
          <w:sz w:val="22"/>
        </w:rPr>
        <w:t>(116).</w:t>
      </w:r>
    </w:p>
    <w:p w:rsidR="00A80C7B" w:rsidRPr="008621CD" w:rsidRDefault="00A80C7B" w:rsidP="00A80C7B">
      <w:pPr>
        <w:pStyle w:val="ListParagraph"/>
        <w:rPr>
          <w:sz w:val="22"/>
        </w:rPr>
      </w:pPr>
    </w:p>
    <w:p w:rsidR="00A80C7B" w:rsidRPr="008621CD" w:rsidRDefault="00A80C7B" w:rsidP="00A80C7B">
      <w:pPr>
        <w:pStyle w:val="ListParagraph"/>
        <w:numPr>
          <w:ilvl w:val="0"/>
          <w:numId w:val="1"/>
        </w:numPr>
        <w:rPr>
          <w:sz w:val="22"/>
        </w:rPr>
      </w:pPr>
      <w:r w:rsidRPr="008621CD">
        <w:rPr>
          <w:b/>
          <w:sz w:val="22"/>
        </w:rPr>
        <w:t xml:space="preserve">It is critical to be able to clearly distinguish the “they say” part from the “I say” </w:t>
      </w:r>
      <w:r w:rsidRPr="008621CD">
        <w:rPr>
          <w:sz w:val="22"/>
        </w:rPr>
        <w:t>part, both when reading and when writing (68-70).</w:t>
      </w:r>
    </w:p>
    <w:p w:rsidR="00A80C7B" w:rsidRPr="008621CD" w:rsidRDefault="00A80C7B" w:rsidP="00A80C7B">
      <w:pPr>
        <w:pStyle w:val="ListParagraph"/>
        <w:rPr>
          <w:sz w:val="22"/>
        </w:rPr>
      </w:pPr>
    </w:p>
    <w:p w:rsidR="00A80C7B" w:rsidRPr="008621CD" w:rsidRDefault="00A80C7B" w:rsidP="00A80C7B">
      <w:pPr>
        <w:pStyle w:val="ListParagraph"/>
        <w:numPr>
          <w:ilvl w:val="0"/>
          <w:numId w:val="1"/>
        </w:numPr>
        <w:rPr>
          <w:sz w:val="22"/>
        </w:rPr>
      </w:pPr>
      <w:r w:rsidRPr="008621CD">
        <w:rPr>
          <w:b/>
          <w:sz w:val="22"/>
        </w:rPr>
        <w:t xml:space="preserve">You can completely agree with what “they say” or completely disagree, but it’s often best to </w:t>
      </w:r>
      <w:r w:rsidRPr="008621CD">
        <w:rPr>
          <w:b/>
          <w:i/>
          <w:sz w:val="22"/>
        </w:rPr>
        <w:t>both</w:t>
      </w:r>
      <w:r w:rsidRPr="008621CD">
        <w:rPr>
          <w:b/>
          <w:sz w:val="22"/>
        </w:rPr>
        <w:t xml:space="preserve"> agree </w:t>
      </w:r>
      <w:r w:rsidRPr="008621CD">
        <w:rPr>
          <w:b/>
          <w:i/>
          <w:sz w:val="22"/>
        </w:rPr>
        <w:t>and</w:t>
      </w:r>
      <w:r w:rsidRPr="008621CD">
        <w:rPr>
          <w:b/>
          <w:sz w:val="22"/>
        </w:rPr>
        <w:t xml:space="preserve"> disagree, with reasons </w:t>
      </w:r>
      <w:r w:rsidRPr="008621CD">
        <w:rPr>
          <w:sz w:val="22"/>
        </w:rPr>
        <w:t>(64).</w:t>
      </w:r>
    </w:p>
    <w:p w:rsidR="00A80C7B" w:rsidRPr="008621CD" w:rsidRDefault="00A80C7B" w:rsidP="00A80C7B">
      <w:pPr>
        <w:pStyle w:val="ListParagraph"/>
        <w:rPr>
          <w:sz w:val="22"/>
        </w:rPr>
      </w:pPr>
    </w:p>
    <w:p w:rsidR="00A80C7B" w:rsidRDefault="00A80C7B" w:rsidP="008621CD">
      <w:pPr>
        <w:pStyle w:val="ListParagraph"/>
        <w:numPr>
          <w:ilvl w:val="0"/>
          <w:numId w:val="1"/>
        </w:numPr>
        <w:rPr>
          <w:sz w:val="22"/>
        </w:rPr>
      </w:pPr>
      <w:r w:rsidRPr="008621CD">
        <w:rPr>
          <w:b/>
          <w:sz w:val="22"/>
        </w:rPr>
        <w:t>“Quotes are orphans”</w:t>
      </w:r>
      <w:r w:rsidRPr="008621CD">
        <w:rPr>
          <w:sz w:val="22"/>
        </w:rPr>
        <w:t xml:space="preserve"> wrenched out of context, so you have to give your audience that missing context with a </w:t>
      </w:r>
      <w:r w:rsidRPr="008621CD">
        <w:rPr>
          <w:b/>
          <w:sz w:val="22"/>
        </w:rPr>
        <w:t>“sandwich”: whose words they are (ID tag) + the quote +</w:t>
      </w:r>
      <w:r w:rsidR="008621CD">
        <w:rPr>
          <w:b/>
          <w:sz w:val="22"/>
        </w:rPr>
        <w:t xml:space="preserve">explanation </w:t>
      </w:r>
      <w:r w:rsidRPr="008621CD">
        <w:rPr>
          <w:sz w:val="22"/>
        </w:rPr>
        <w:t>(43</w:t>
      </w:r>
      <w:r w:rsidR="008621CD">
        <w:rPr>
          <w:sz w:val="22"/>
        </w:rPr>
        <w:t>-5</w:t>
      </w:r>
      <w:r w:rsidRPr="008621CD">
        <w:rPr>
          <w:sz w:val="22"/>
        </w:rPr>
        <w:t>).</w:t>
      </w:r>
    </w:p>
    <w:p w:rsidR="008621CD" w:rsidRPr="008621CD" w:rsidRDefault="008621CD" w:rsidP="008621CD">
      <w:pPr>
        <w:pStyle w:val="ListParagraph"/>
        <w:rPr>
          <w:sz w:val="22"/>
        </w:rPr>
      </w:pPr>
    </w:p>
    <w:p w:rsidR="008621CD" w:rsidRDefault="008621CD" w:rsidP="008621CD">
      <w:pPr>
        <w:pStyle w:val="ListParagraph"/>
        <w:numPr>
          <w:ilvl w:val="0"/>
          <w:numId w:val="1"/>
        </w:numPr>
        <w:rPr>
          <w:sz w:val="22"/>
        </w:rPr>
      </w:pPr>
      <w:r w:rsidRPr="008621CD">
        <w:rPr>
          <w:b/>
          <w:sz w:val="22"/>
        </w:rPr>
        <w:t xml:space="preserve">Bring in the “naysayer” to disarm your critics, show respect for your readers, show you aren’t ignorant or arrogant, </w:t>
      </w:r>
      <w:proofErr w:type="gramStart"/>
      <w:r w:rsidRPr="008621CD">
        <w:rPr>
          <w:b/>
          <w:sz w:val="22"/>
        </w:rPr>
        <w:t>add</w:t>
      </w:r>
      <w:proofErr w:type="gramEnd"/>
      <w:r w:rsidRPr="008621CD">
        <w:rPr>
          <w:b/>
          <w:sz w:val="22"/>
        </w:rPr>
        <w:t xml:space="preserve"> interest (and length) to your argument</w:t>
      </w:r>
      <w:r w:rsidRPr="008621CD">
        <w:rPr>
          <w:sz w:val="22"/>
        </w:rPr>
        <w:t xml:space="preserve"> (79-80).</w:t>
      </w:r>
    </w:p>
    <w:p w:rsidR="008621CD" w:rsidRPr="008621CD" w:rsidRDefault="008621CD" w:rsidP="008621CD">
      <w:pPr>
        <w:pStyle w:val="ListParagraph"/>
        <w:rPr>
          <w:sz w:val="22"/>
        </w:rPr>
      </w:pPr>
    </w:p>
    <w:p w:rsidR="008621CD" w:rsidRDefault="008621CD" w:rsidP="008621CD">
      <w:pPr>
        <w:pStyle w:val="ListParagraph"/>
        <w:numPr>
          <w:ilvl w:val="0"/>
          <w:numId w:val="1"/>
        </w:numPr>
        <w:rPr>
          <w:sz w:val="22"/>
        </w:rPr>
      </w:pPr>
      <w:r w:rsidRPr="008621CD">
        <w:rPr>
          <w:sz w:val="22"/>
        </w:rPr>
        <w:t>If you find you can’t convincingly refute a point made by your naysayers,</w:t>
      </w:r>
      <w:r w:rsidRPr="008621CD">
        <w:rPr>
          <w:b/>
          <w:sz w:val="22"/>
        </w:rPr>
        <w:t xml:space="preserve"> offer a concession. If you can’t refute them at all, </w:t>
      </w:r>
      <w:r w:rsidRPr="008621CD">
        <w:rPr>
          <w:b/>
          <w:i/>
          <w:sz w:val="22"/>
        </w:rPr>
        <w:t>join them</w:t>
      </w:r>
      <w:r w:rsidRPr="008621CD">
        <w:rPr>
          <w:b/>
          <w:sz w:val="22"/>
        </w:rPr>
        <w:t xml:space="preserve"> </w:t>
      </w:r>
      <w:r w:rsidRPr="008621CD">
        <w:rPr>
          <w:sz w:val="22"/>
        </w:rPr>
        <w:t>(89).</w:t>
      </w:r>
    </w:p>
    <w:p w:rsidR="008621CD" w:rsidRPr="008621CD" w:rsidRDefault="008621CD" w:rsidP="008621CD">
      <w:pPr>
        <w:pStyle w:val="ListParagraph"/>
        <w:rPr>
          <w:sz w:val="22"/>
        </w:rPr>
      </w:pPr>
    </w:p>
    <w:p w:rsidR="008621CD" w:rsidRPr="00CE2235" w:rsidRDefault="008621CD" w:rsidP="008621CD">
      <w:pPr>
        <w:pStyle w:val="ListParagraph"/>
        <w:numPr>
          <w:ilvl w:val="0"/>
          <w:numId w:val="1"/>
        </w:numPr>
        <w:rPr>
          <w:sz w:val="22"/>
        </w:rPr>
      </w:pPr>
      <w:r w:rsidRPr="008621CD">
        <w:rPr>
          <w:b/>
          <w:sz w:val="22"/>
        </w:rPr>
        <w:t>Help your readers get your point by using “</w:t>
      </w:r>
      <w:proofErr w:type="spellStart"/>
      <w:r w:rsidRPr="008621CD">
        <w:rPr>
          <w:b/>
          <w:sz w:val="22"/>
        </w:rPr>
        <w:t>metacommentary</w:t>
      </w:r>
      <w:proofErr w:type="spellEnd"/>
      <w:r w:rsidRPr="008621CD">
        <w:rPr>
          <w:b/>
          <w:sz w:val="22"/>
        </w:rPr>
        <w:t xml:space="preserve">”--comment on your own text—to do any or all of these: </w:t>
      </w:r>
      <w:r w:rsidRPr="008621CD">
        <w:rPr>
          <w:sz w:val="22"/>
        </w:rPr>
        <w:t xml:space="preserve">answer possible objections, distinguish your arguments from similar ones, connect your points, </w:t>
      </w:r>
      <w:proofErr w:type="gramStart"/>
      <w:r w:rsidRPr="008621CD">
        <w:rPr>
          <w:sz w:val="22"/>
        </w:rPr>
        <w:t>explain</w:t>
      </w:r>
      <w:proofErr w:type="gramEnd"/>
      <w:r w:rsidRPr="008621CD">
        <w:rPr>
          <w:sz w:val="22"/>
        </w:rPr>
        <w:t xml:space="preserve"> the implications, frame </w:t>
      </w:r>
      <w:r w:rsidR="00ED5BF1">
        <w:rPr>
          <w:sz w:val="22"/>
        </w:rPr>
        <w:t>quotations</w:t>
      </w:r>
      <w:r w:rsidRPr="008621CD">
        <w:rPr>
          <w:sz w:val="22"/>
        </w:rPr>
        <w:t>, say why it matters and who should care</w:t>
      </w:r>
      <w:r>
        <w:rPr>
          <w:sz w:val="22"/>
        </w:rPr>
        <w:t xml:space="preserve"> (130-134)</w:t>
      </w:r>
      <w:r w:rsidRPr="008621CD">
        <w:rPr>
          <w:b/>
          <w:sz w:val="22"/>
        </w:rPr>
        <w:t>.</w:t>
      </w:r>
    </w:p>
    <w:p w:rsidR="00CE2235" w:rsidRPr="00CE2235" w:rsidRDefault="00CE2235" w:rsidP="00CE2235">
      <w:pPr>
        <w:pStyle w:val="ListParagraph"/>
        <w:rPr>
          <w:sz w:val="22"/>
        </w:rPr>
      </w:pPr>
    </w:p>
    <w:p w:rsidR="00CE2235" w:rsidRPr="00665722" w:rsidRDefault="00CE2235" w:rsidP="00CE2235">
      <w:pPr>
        <w:jc w:val="center"/>
        <w:rPr>
          <w:b/>
          <w:sz w:val="28"/>
        </w:rPr>
      </w:pPr>
      <w:r w:rsidRPr="00665722">
        <w:rPr>
          <w:b/>
          <w:sz w:val="28"/>
        </w:rPr>
        <w:t>What We’ve Read</w:t>
      </w:r>
    </w:p>
    <w:p w:rsidR="00CE2235" w:rsidRDefault="00CE2235" w:rsidP="00CE2235">
      <w:r>
        <w:t>Entering the Conversation Text pp. 1-14</w:t>
      </w:r>
    </w:p>
    <w:p w:rsidR="00CE2235" w:rsidRDefault="00CE2235" w:rsidP="00CE2235">
      <w:pPr>
        <w:ind w:firstLine="720"/>
      </w:pPr>
      <w:r w:rsidRPr="00386B7E">
        <w:t xml:space="preserve"> “</w:t>
      </w:r>
      <w:r>
        <w:t xml:space="preserve">Your So-Called Education,” replies to </w:t>
      </w:r>
      <w:r w:rsidRPr="00386B7E">
        <w:t>“</w:t>
      </w:r>
      <w:r>
        <w:t>Your So-Called Education” (online)</w:t>
      </w:r>
    </w:p>
    <w:p w:rsidR="00CE2235" w:rsidRDefault="00CE2235" w:rsidP="00CE2235">
      <w:pPr>
        <w:ind w:firstLine="720"/>
      </w:pPr>
      <w:r>
        <w:t xml:space="preserve">“College Pays </w:t>
      </w:r>
      <w:proofErr w:type="gramStart"/>
      <w:r>
        <w:t>Off ”</w:t>
      </w:r>
      <w:proofErr w:type="gramEnd"/>
      <w:r>
        <w:t xml:space="preserve"> replies to “College Pays Off” (online)</w:t>
      </w:r>
    </w:p>
    <w:p w:rsidR="00CE2235" w:rsidRDefault="00CE2235" w:rsidP="00CE2235">
      <w:pPr>
        <w:ind w:firstLine="720"/>
      </w:pPr>
      <w:r>
        <w:t xml:space="preserve"> “</w:t>
      </w:r>
      <w:r w:rsidRPr="00386B7E">
        <w:t>Kenyon Commencement Speech</w:t>
      </w:r>
      <w:r>
        <w:t>”</w:t>
      </w:r>
      <w:r w:rsidRPr="00386B7E">
        <w:t xml:space="preserve"> 198-</w:t>
      </w:r>
      <w:r>
        <w:t>210</w:t>
      </w:r>
    </w:p>
    <w:p w:rsidR="00CE2235" w:rsidRDefault="00CE2235" w:rsidP="00CE2235">
      <w:r>
        <w:t>Reading for the Conversation, Entering Class Discussions 145-155, 141-144</w:t>
      </w:r>
    </w:p>
    <w:p w:rsidR="00CE2235" w:rsidRDefault="00CE2235" w:rsidP="00CE2235">
      <w:r>
        <w:t xml:space="preserve">Starting With What Others Are Saying 19-29, </w:t>
      </w:r>
    </w:p>
    <w:p w:rsidR="00CE2235" w:rsidRDefault="00CE2235" w:rsidP="00CE2235">
      <w:pPr>
        <w:ind w:firstLine="720"/>
      </w:pPr>
      <w:r>
        <w:t>“Hidden Intellectualism” 380-387</w:t>
      </w:r>
    </w:p>
    <w:p w:rsidR="00CE2235" w:rsidRDefault="00CE2235" w:rsidP="00CE2235">
      <w:r>
        <w:t xml:space="preserve">Saying </w:t>
      </w:r>
      <w:proofErr w:type="gramStart"/>
      <w:r>
        <w:t>Why</w:t>
      </w:r>
      <w:proofErr w:type="gramEnd"/>
      <w:r>
        <w:t xml:space="preserve"> it Matters: “So What? Who Cares?”</w:t>
      </w:r>
      <w:r w:rsidRPr="00665722">
        <w:t xml:space="preserve"> </w:t>
      </w:r>
      <w:r>
        <w:t>92-101,</w:t>
      </w:r>
    </w:p>
    <w:p w:rsidR="00CE2235" w:rsidRDefault="00CE2235" w:rsidP="00CE2235">
      <w:pPr>
        <w:ind w:firstLine="720"/>
      </w:pPr>
      <w:r>
        <w:t xml:space="preserve"> “</w:t>
      </w:r>
      <w:proofErr w:type="spellStart"/>
      <w:r>
        <w:t>Kristof</w:t>
      </w:r>
      <w:proofErr w:type="spellEnd"/>
      <w:r>
        <w:t xml:space="preserve"> &amp; Clooney in Darfur” (online)</w:t>
      </w:r>
    </w:p>
    <w:p w:rsidR="00CE2235" w:rsidRDefault="00CE2235" w:rsidP="00CE2235">
      <w:r>
        <w:t>The Art of Summarizing 30-41</w:t>
      </w:r>
    </w:p>
    <w:p w:rsidR="00CE2235" w:rsidRDefault="00CE2235" w:rsidP="00CE2235">
      <w:r>
        <w:t xml:space="preserve">Connecting the Parts: “As a Result” 105-118, </w:t>
      </w:r>
    </w:p>
    <w:p w:rsidR="00CE2235" w:rsidRDefault="00CE2235" w:rsidP="00CE2235">
      <w:r>
        <w:t>Distinguishing What You Say From What They Say 68-75</w:t>
      </w:r>
    </w:p>
    <w:p w:rsidR="00CE2235" w:rsidRDefault="00CE2235" w:rsidP="00CE2235">
      <w:pPr>
        <w:ind w:firstLine="720"/>
      </w:pPr>
      <w:r>
        <w:t>“Don’t Blame the Eater” 391-394</w:t>
      </w:r>
    </w:p>
    <w:p w:rsidR="00CE2235" w:rsidRDefault="00CE2235" w:rsidP="00CE2235">
      <w:r>
        <w:t>Three Ways to respond: “Yes/No/OK, But</w:t>
      </w:r>
      <w:proofErr w:type="gramStart"/>
      <w:r>
        <w:t>”  55</w:t>
      </w:r>
      <w:proofErr w:type="gramEnd"/>
      <w:r>
        <w:t xml:space="preserve">-67, </w:t>
      </w:r>
    </w:p>
    <w:p w:rsidR="00CE2235" w:rsidRDefault="00CE2235" w:rsidP="00CE2235">
      <w:pPr>
        <w:ind w:firstLine="720"/>
      </w:pPr>
      <w:r>
        <w:t xml:space="preserve">“Thinking </w:t>
      </w:r>
      <w:proofErr w:type="gramStart"/>
      <w:r>
        <w:t>Outside</w:t>
      </w:r>
      <w:proofErr w:type="gramEnd"/>
      <w:r>
        <w:t xml:space="preserve"> the Idiot Box” 295-298</w:t>
      </w:r>
    </w:p>
    <w:p w:rsidR="00CE2235" w:rsidRDefault="00CE2235" w:rsidP="00CE2235">
      <w:r w:rsidRPr="00857CD9">
        <w:t>Putting</w:t>
      </w:r>
      <w:r>
        <w:t xml:space="preserve"> a Naysayer in Your Text   78-91, 129-137</w:t>
      </w:r>
    </w:p>
    <w:p w:rsidR="00CE2235" w:rsidRDefault="00CE2235" w:rsidP="00CE2235"/>
    <w:p w:rsidR="00CE2235" w:rsidRPr="00C20333" w:rsidRDefault="00CE2235" w:rsidP="00CE2235">
      <w:pPr>
        <w:rPr>
          <w:u w:val="single"/>
        </w:rPr>
      </w:pPr>
      <w:r w:rsidRPr="00C20333">
        <w:rPr>
          <w:u w:val="single"/>
        </w:rPr>
        <w:t>Related to the Research Project</w:t>
      </w:r>
      <w:r>
        <w:rPr>
          <w:u w:val="single"/>
        </w:rPr>
        <w:t>, and to Writing in General</w:t>
      </w:r>
    </w:p>
    <w:p w:rsidR="00CE2235" w:rsidRDefault="00CE2235" w:rsidP="00CE2235">
      <w:r>
        <w:t>Getting from thesis question to research plan</w:t>
      </w:r>
      <w:r w:rsidRPr="00C20333">
        <w:rPr>
          <w:i/>
        </w:rPr>
        <w:t xml:space="preserve"> </w:t>
      </w:r>
      <w:r>
        <w:rPr>
          <w:i/>
        </w:rPr>
        <w:t>Seagull</w:t>
      </w:r>
      <w:r>
        <w:t xml:space="preserve"> 68-70, 79-82</w:t>
      </w:r>
    </w:p>
    <w:p w:rsidR="00CE2235" w:rsidRDefault="00CE2235" w:rsidP="00CE2235">
      <w:r>
        <w:t xml:space="preserve">MLA Works Cited page </w:t>
      </w:r>
      <w:r>
        <w:rPr>
          <w:i/>
        </w:rPr>
        <w:t>Seagull</w:t>
      </w:r>
      <w:r>
        <w:t xml:space="preserve"> 103-135</w:t>
      </w:r>
    </w:p>
    <w:p w:rsidR="00CE2235" w:rsidRDefault="00CE2235" w:rsidP="00CE2235">
      <w:r>
        <w:t xml:space="preserve">Using MLA format, works cited system, avoiding plagiarism Text 42-50, </w:t>
      </w:r>
      <w:r w:rsidRPr="00347C6E">
        <w:rPr>
          <w:i/>
        </w:rPr>
        <w:t>Seagull</w:t>
      </w:r>
      <w:r>
        <w:t xml:space="preserve"> 82-92</w:t>
      </w:r>
      <w:r w:rsidRPr="00F33915">
        <w:t xml:space="preserve"> </w:t>
      </w:r>
    </w:p>
    <w:p w:rsidR="00CE2235" w:rsidRDefault="00CE2235" w:rsidP="00CE2235">
      <w:r>
        <w:t xml:space="preserve">Writing Compelling Introductions, </w:t>
      </w:r>
      <w:proofErr w:type="gramStart"/>
      <w:r>
        <w:t xml:space="preserve">Conclusions  </w:t>
      </w:r>
      <w:r w:rsidRPr="00F33915">
        <w:rPr>
          <w:i/>
        </w:rPr>
        <w:t>Seagull</w:t>
      </w:r>
      <w:proofErr w:type="gramEnd"/>
      <w:r>
        <w:t xml:space="preserve"> 14-22</w:t>
      </w:r>
    </w:p>
    <w:p w:rsidR="00CE2235" w:rsidRPr="008621CD" w:rsidRDefault="00CE2235" w:rsidP="00CE2235">
      <w:pPr>
        <w:pStyle w:val="ListParagraph"/>
        <w:rPr>
          <w:sz w:val="22"/>
        </w:rPr>
      </w:pPr>
      <w:bookmarkStart w:id="0" w:name="_GoBack"/>
      <w:bookmarkEnd w:id="0"/>
    </w:p>
    <w:sectPr w:rsidR="00CE2235" w:rsidRPr="0086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33C5"/>
    <w:multiLevelType w:val="hybridMultilevel"/>
    <w:tmpl w:val="FD5C6B0C"/>
    <w:lvl w:ilvl="0" w:tplc="570E2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0E"/>
    <w:rsid w:val="001C1721"/>
    <w:rsid w:val="00202CAC"/>
    <w:rsid w:val="003105C5"/>
    <w:rsid w:val="00592461"/>
    <w:rsid w:val="005F7862"/>
    <w:rsid w:val="007C1884"/>
    <w:rsid w:val="00807BFF"/>
    <w:rsid w:val="008621CD"/>
    <w:rsid w:val="00955D3C"/>
    <w:rsid w:val="00A80C7B"/>
    <w:rsid w:val="00CE2235"/>
    <w:rsid w:val="00CE3F0C"/>
    <w:rsid w:val="00E87A0E"/>
    <w:rsid w:val="00E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cp:lastPrinted>2012-04-26T21:43:00Z</cp:lastPrinted>
  <dcterms:created xsi:type="dcterms:W3CDTF">2012-04-30T17:07:00Z</dcterms:created>
  <dcterms:modified xsi:type="dcterms:W3CDTF">2012-04-30T17:07:00Z</dcterms:modified>
</cp:coreProperties>
</file>