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rPr>
          <w:rFonts w:ascii="Times New Roman" w:cs="Times New Roman" w:eastAsia="Times New Roman" w:hAnsi="Times New Roman"/>
          <w:sz w:val="24"/>
          <w:szCs w:val="24"/>
        </w:rPr>
      </w:pPr>
      <w:r w:rsidDel="00000000" w:rsidR="00000000" w:rsidRPr="00000000">
        <w:rPr>
          <w:b w:val="1"/>
          <w:color w:val="000000"/>
          <w:sz w:val="24"/>
          <w:szCs w:val="24"/>
          <w:rtl w:val="0"/>
        </w:rPr>
        <w:t xml:space="preserve">SAN JOSÉ STATE UNIVERSITY</w:t>
        <w:tab/>
        <w:br w:type="textWrapping"/>
        <w:t xml:space="preserve">Academic Senate</w:t>
        <w:tab/>
        <w:tab/>
        <w:tab/>
        <w:tab/>
        <w:tab/>
        <w:tab/>
        <w:tab/>
        <w:tab/>
        <w:tab/>
        <w:t xml:space="preserve">AS 1872</w:t>
      </w:r>
      <w:r w:rsidDel="00000000" w:rsidR="00000000" w:rsidRPr="00000000">
        <w:rPr>
          <w:rtl w:val="0"/>
        </w:rPr>
      </w:r>
    </w:p>
    <w:p w:rsidR="00000000" w:rsidDel="00000000" w:rsidP="00000000" w:rsidRDefault="00000000" w:rsidRPr="00000000" w14:paraId="00000002">
      <w:pPr>
        <w:widowControl w:val="1"/>
        <w:rPr>
          <w:rFonts w:ascii="Times New Roman" w:cs="Times New Roman" w:eastAsia="Times New Roman" w:hAnsi="Times New Roman"/>
          <w:sz w:val="24"/>
          <w:szCs w:val="24"/>
        </w:rPr>
      </w:pPr>
      <w:r w:rsidDel="00000000" w:rsidR="00000000" w:rsidRPr="00000000">
        <w:rPr>
          <w:b w:val="1"/>
          <w:color w:val="000000"/>
          <w:sz w:val="24"/>
          <w:szCs w:val="24"/>
          <w:rtl w:val="0"/>
        </w:rPr>
        <w:t xml:space="preserve">Instruction and Student Affairs Committee</w:t>
      </w:r>
      <w:r w:rsidDel="00000000" w:rsidR="00000000" w:rsidRPr="00000000">
        <w:rPr>
          <w:rtl w:val="0"/>
        </w:rPr>
      </w:r>
    </w:p>
    <w:p w:rsidR="00000000" w:rsidDel="00000000" w:rsidP="00000000" w:rsidRDefault="00000000" w:rsidRPr="00000000" w14:paraId="00000003">
      <w:pPr>
        <w:widowControl w:val="1"/>
        <w:rPr>
          <w:rFonts w:ascii="Times New Roman" w:cs="Times New Roman" w:eastAsia="Times New Roman" w:hAnsi="Times New Roman"/>
          <w:sz w:val="24"/>
          <w:szCs w:val="24"/>
        </w:rPr>
      </w:pPr>
      <w:r w:rsidDel="00000000" w:rsidR="00000000" w:rsidRPr="00000000">
        <w:rPr>
          <w:b w:val="1"/>
          <w:color w:val="000000"/>
          <w:sz w:val="24"/>
          <w:szCs w:val="24"/>
          <w:rtl w:val="0"/>
        </w:rPr>
        <w:t xml:space="preserve">April 15, 2024</w:t>
      </w:r>
      <w:r w:rsidDel="00000000" w:rsidR="00000000" w:rsidRPr="00000000">
        <w:rPr>
          <w:rtl w:val="0"/>
        </w:rPr>
      </w:r>
    </w:p>
    <w:p w:rsidR="00000000" w:rsidDel="00000000" w:rsidP="00000000" w:rsidRDefault="00000000" w:rsidRPr="00000000" w14:paraId="00000004">
      <w:pPr>
        <w:widowControl w:val="1"/>
        <w:rPr>
          <w:rFonts w:ascii="Times New Roman" w:cs="Times New Roman" w:eastAsia="Times New Roman" w:hAnsi="Times New Roman"/>
          <w:sz w:val="24"/>
          <w:szCs w:val="24"/>
        </w:rPr>
      </w:pPr>
      <w:r w:rsidDel="00000000" w:rsidR="00000000" w:rsidRPr="00000000">
        <w:rPr>
          <w:b w:val="1"/>
          <w:color w:val="000000"/>
          <w:sz w:val="24"/>
          <w:szCs w:val="24"/>
          <w:rtl w:val="0"/>
        </w:rPr>
        <w:t xml:space="preserve">First Reading</w:t>
      </w:r>
      <w:r w:rsidDel="00000000" w:rsidR="00000000" w:rsidRPr="00000000">
        <w:rPr>
          <w:rtl w:val="0"/>
        </w:rPr>
      </w:r>
    </w:p>
    <w:p w:rsidR="00000000" w:rsidDel="00000000" w:rsidP="00000000" w:rsidRDefault="00000000" w:rsidRPr="00000000" w14:paraId="00000005">
      <w:pPr>
        <w:widowControl w:val="1"/>
        <w:spacing w:before="367" w:lineRule="auto"/>
        <w:ind w:left="199" w:right="213" w:firstLine="0"/>
        <w:jc w:val="center"/>
        <w:rPr>
          <w:rFonts w:ascii="Times New Roman" w:cs="Times New Roman" w:eastAsia="Times New Roman" w:hAnsi="Times New Roman"/>
          <w:sz w:val="24"/>
          <w:szCs w:val="24"/>
        </w:rPr>
      </w:pPr>
      <w:r w:rsidDel="00000000" w:rsidR="00000000" w:rsidRPr="00000000">
        <w:rPr>
          <w:b w:val="1"/>
          <w:color w:val="000000"/>
          <w:sz w:val="32"/>
          <w:szCs w:val="32"/>
          <w:rtl w:val="0"/>
        </w:rPr>
        <w:t xml:space="preserve">POLICY RECOMMENDATION</w:t>
      </w:r>
      <w:r w:rsidDel="00000000" w:rsidR="00000000" w:rsidRPr="00000000">
        <w:rPr>
          <w:rtl w:val="0"/>
        </w:rPr>
      </w:r>
    </w:p>
    <w:p w:rsidR="00000000" w:rsidDel="00000000" w:rsidP="00000000" w:rsidRDefault="00000000" w:rsidRPr="00000000" w14:paraId="00000006">
      <w:pPr>
        <w:widowControl w:val="1"/>
        <w:spacing w:before="367" w:lineRule="auto"/>
        <w:ind w:left="199" w:right="213" w:firstLine="0"/>
        <w:jc w:val="center"/>
        <w:rPr>
          <w:rFonts w:ascii="Times New Roman" w:cs="Times New Roman" w:eastAsia="Times New Roman" w:hAnsi="Times New Roman"/>
          <w:sz w:val="24"/>
          <w:szCs w:val="24"/>
        </w:rPr>
      </w:pPr>
      <w:r w:rsidDel="00000000" w:rsidR="00000000" w:rsidRPr="00000000">
        <w:rPr>
          <w:b w:val="1"/>
          <w:color w:val="000000"/>
          <w:sz w:val="28"/>
          <w:szCs w:val="28"/>
          <w:rtl w:val="0"/>
        </w:rPr>
        <w:t xml:space="preserve">Amendment A to S17-1, University Policy, Culminating Activities and Final Examinations Policy</w:t>
      </w:r>
      <w:r w:rsidDel="00000000" w:rsidR="00000000" w:rsidRPr="00000000">
        <w:rPr>
          <w:rtl w:val="0"/>
        </w:rPr>
      </w:r>
    </w:p>
    <w:p w:rsidR="00000000" w:rsidDel="00000000" w:rsidP="00000000" w:rsidRDefault="00000000" w:rsidRPr="00000000" w14:paraId="00000007">
      <w:pPr>
        <w:widowControl w:val="1"/>
        <w:spacing w:after="240" w:before="277" w:lineRule="auto"/>
        <w:ind w:left="202" w:firstLine="0"/>
        <w:rPr>
          <w:b w:val="1"/>
          <w:color w:val="000000"/>
          <w:sz w:val="31"/>
          <w:szCs w:val="31"/>
        </w:rPr>
      </w:pPr>
      <w:r w:rsidDel="00000000" w:rsidR="00000000" w:rsidRPr="00000000">
        <w:rPr>
          <w:b w:val="1"/>
          <w:color w:val="000000"/>
          <w:sz w:val="28"/>
          <w:szCs w:val="28"/>
          <w:rtl w:val="0"/>
        </w:rPr>
        <w:t xml:space="preserve">Amends: S17-1</w:t>
      </w:r>
      <w:r w:rsidDel="00000000" w:rsidR="00000000" w:rsidRPr="00000000">
        <w:rPr>
          <w:rtl w:val="0"/>
        </w:rPr>
      </w:r>
    </w:p>
    <w:p w:rsidR="00000000" w:rsidDel="00000000" w:rsidP="00000000" w:rsidRDefault="00000000" w:rsidRPr="00000000" w14:paraId="00000008">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SJSU’s final examination periods are among the longest in the CSU system; and</w:t>
      </w:r>
    </w:p>
    <w:p w:rsidR="00000000" w:rsidDel="00000000" w:rsidP="00000000" w:rsidRDefault="00000000" w:rsidRPr="00000000" w14:paraId="00000009">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Research shows that students, especially teenagers and young adults, are not the most effective academically in early morning hours. It suggests that taking early morning examinations is akin to taking examinations with jetlag, which can be problematic given that such final examinations and culminating activities may be a significant portion of a student's final course grade; and</w:t>
      </w:r>
    </w:p>
    <w:p w:rsidR="00000000" w:rsidDel="00000000" w:rsidP="00000000" w:rsidRDefault="00000000" w:rsidRPr="00000000" w14:paraId="0000000A">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In response to this body of evidence, the State of California now requires high schools to begin no earlier than 08:30 AM; and </w:t>
      </w:r>
    </w:p>
    <w:p w:rsidR="00000000" w:rsidDel="00000000" w:rsidP="00000000" w:rsidRDefault="00000000" w:rsidRPr="00000000" w14:paraId="0000000B">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Early exam times outside of business hours may make commutes challenging for students who rely on public transportation to arrive in time to take a final exam that begins at 07:15 AM, the current start time of final examinations; and</w:t>
      </w:r>
    </w:p>
    <w:p w:rsidR="00000000" w:rsidDel="00000000" w:rsidP="00000000" w:rsidRDefault="00000000" w:rsidRPr="00000000" w14:paraId="0000000C">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Early morning examination periods may be assigned to classes that start as late as 10:25, which is significantly different than the normal class meeting times; and</w:t>
      </w:r>
    </w:p>
    <w:p w:rsidR="00000000" w:rsidDel="00000000" w:rsidP="00000000" w:rsidRDefault="00000000" w:rsidRPr="00000000" w14:paraId="0000000D">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The current policy related to final examinations does not provide equal consideration for culminating activities other than final examinations, such as papers, projects, artistic works, presentations, or performances; and </w:t>
      </w:r>
    </w:p>
    <w:p w:rsidR="00000000" w:rsidDel="00000000" w:rsidP="00000000" w:rsidRDefault="00000000" w:rsidRPr="00000000" w14:paraId="0000000E">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With the expansion of online coursework and programs, the policy should provide specific guidance on culminating activities for online, hybrid, and asynchronous courses; and</w:t>
      </w:r>
    </w:p>
    <w:p w:rsidR="00000000" w:rsidDel="00000000" w:rsidP="00000000" w:rsidRDefault="00000000" w:rsidRPr="00000000" w14:paraId="0000000F">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The current </w:t>
      </w:r>
      <w:hyperlink r:id="rId9">
        <w:r w:rsidDel="00000000" w:rsidR="00000000" w:rsidRPr="00000000">
          <w:rPr>
            <w:color w:val="1155cc"/>
            <w:sz w:val="23"/>
            <w:szCs w:val="23"/>
            <w:u w:val="single"/>
            <w:rtl w:val="0"/>
          </w:rPr>
          <w:t xml:space="preserve">Excused Absence Policy</w:t>
        </w:r>
      </w:hyperlink>
      <w:r w:rsidDel="00000000" w:rsidR="00000000" w:rsidRPr="00000000">
        <w:rPr>
          <w:color w:val="000000"/>
          <w:sz w:val="23"/>
          <w:szCs w:val="23"/>
          <w:rtl w:val="0"/>
        </w:rPr>
        <w:t xml:space="preserve"> should be clearly identified and applied within the context of culminating activities for courses; therefore, be it,</w:t>
      </w:r>
    </w:p>
    <w:p w:rsidR="00000000" w:rsidDel="00000000" w:rsidP="00000000" w:rsidRDefault="00000000" w:rsidRPr="00000000" w14:paraId="00000010">
      <w:pPr>
        <w:spacing w:after="480" w:line="276" w:lineRule="auto"/>
        <w:ind w:left="1454" w:hanging="1267"/>
        <w:rPr>
          <w:color w:val="000000"/>
          <w:sz w:val="23"/>
          <w:szCs w:val="23"/>
        </w:rPr>
      </w:pPr>
      <w:r w:rsidDel="00000000" w:rsidR="00000000" w:rsidRPr="00000000">
        <w:rPr>
          <w:b w:val="1"/>
          <w:color w:val="000000"/>
          <w:sz w:val="23"/>
          <w:szCs w:val="23"/>
          <w:rtl w:val="0"/>
        </w:rPr>
        <w:t xml:space="preserve">Resolved,</w:t>
      </w:r>
      <w:r w:rsidDel="00000000" w:rsidR="00000000" w:rsidRPr="00000000">
        <w:rPr>
          <w:color w:val="000000"/>
          <w:sz w:val="23"/>
          <w:szCs w:val="23"/>
          <w:rtl w:val="0"/>
        </w:rPr>
        <w:t xml:space="preserve"> </w:t>
        <w:tab/>
        <w:t xml:space="preserve">That University Policy S17-1 be revised as follows.</w:t>
      </w:r>
    </w:p>
    <w:p w:rsidR="00000000" w:rsidDel="00000000" w:rsidP="00000000" w:rsidRDefault="00000000" w:rsidRPr="00000000" w14:paraId="00000011">
      <w:pPr>
        <w:spacing w:after="120" w:line="276" w:lineRule="auto"/>
        <w:ind w:left="1620" w:hanging="1440"/>
        <w:rPr>
          <w:color w:val="000000"/>
          <w:sz w:val="23"/>
          <w:szCs w:val="23"/>
        </w:rPr>
      </w:pPr>
      <w:r w:rsidDel="00000000" w:rsidR="00000000" w:rsidRPr="00000000">
        <w:rPr>
          <w:b w:val="1"/>
          <w:color w:val="000000"/>
          <w:sz w:val="23"/>
          <w:szCs w:val="23"/>
          <w:rtl w:val="0"/>
        </w:rPr>
        <w:t xml:space="preserve">Approved: </w:t>
        <w:tab/>
      </w:r>
      <w:r w:rsidDel="00000000" w:rsidR="00000000" w:rsidRPr="00000000">
        <w:rPr>
          <w:color w:val="000000"/>
          <w:sz w:val="23"/>
          <w:szCs w:val="23"/>
          <w:rtl w:val="0"/>
        </w:rPr>
        <w:t xml:space="preserve">April 9, 2024</w:t>
      </w:r>
    </w:p>
    <w:p w:rsidR="00000000" w:rsidDel="00000000" w:rsidP="00000000" w:rsidRDefault="00000000" w:rsidRPr="00000000" w14:paraId="00000012">
      <w:pPr>
        <w:spacing w:after="120" w:line="276" w:lineRule="auto"/>
        <w:ind w:left="1620" w:hanging="1440"/>
        <w:rPr>
          <w:color w:val="000000"/>
          <w:sz w:val="23"/>
          <w:szCs w:val="23"/>
        </w:rPr>
      </w:pPr>
      <w:r w:rsidDel="00000000" w:rsidR="00000000" w:rsidRPr="00000000">
        <w:rPr>
          <w:b w:val="1"/>
          <w:color w:val="000000"/>
          <w:sz w:val="23"/>
          <w:szCs w:val="23"/>
          <w:rtl w:val="0"/>
        </w:rPr>
        <w:t xml:space="preserve">Vote:</w:t>
      </w:r>
      <w:r w:rsidDel="00000000" w:rsidR="00000000" w:rsidRPr="00000000">
        <w:rPr>
          <w:color w:val="000000"/>
          <w:sz w:val="23"/>
          <w:szCs w:val="23"/>
          <w:rtl w:val="0"/>
        </w:rPr>
        <w:t xml:space="preserve"> </w:t>
        <w:tab/>
        <w:t xml:space="preserve">15-0-1</w:t>
      </w:r>
    </w:p>
    <w:p w:rsidR="00000000" w:rsidDel="00000000" w:rsidP="00000000" w:rsidRDefault="00000000" w:rsidRPr="00000000" w14:paraId="00000013">
      <w:pPr>
        <w:spacing w:after="120" w:line="276" w:lineRule="auto"/>
        <w:ind w:left="1620" w:hanging="1440"/>
        <w:rPr>
          <w:color w:val="000000"/>
          <w:sz w:val="23"/>
          <w:szCs w:val="23"/>
        </w:rPr>
      </w:pPr>
      <w:r w:rsidDel="00000000" w:rsidR="00000000" w:rsidRPr="00000000">
        <w:rPr>
          <w:b w:val="1"/>
          <w:color w:val="000000"/>
          <w:sz w:val="23"/>
          <w:szCs w:val="23"/>
          <w:rtl w:val="0"/>
        </w:rPr>
        <w:t xml:space="preserve">Present:</w:t>
      </w:r>
      <w:r w:rsidDel="00000000" w:rsidR="00000000" w:rsidRPr="00000000">
        <w:rPr>
          <w:color w:val="000000"/>
          <w:sz w:val="23"/>
          <w:szCs w:val="23"/>
          <w:rtl w:val="0"/>
        </w:rPr>
        <w:t xml:space="preserve"> </w:t>
        <w:tab/>
        <w:t xml:space="preserve">Samuel Brown, Diya Doshi, Lisa Giampaolo, Estevan Guzman, Melinda Jackson (non-voting), Amy Leisenring (non-voting), Ravisha Mathur, Kelly Masegian, Sarab Multani, Romey Sabalius, Soma Sen, Jon Tucker, Julian Vogel </w:t>
      </w:r>
    </w:p>
    <w:p w:rsidR="00000000" w:rsidDel="00000000" w:rsidP="00000000" w:rsidRDefault="00000000" w:rsidRPr="00000000" w14:paraId="00000014">
      <w:pPr>
        <w:spacing w:after="120" w:line="276" w:lineRule="auto"/>
        <w:ind w:left="1620" w:hanging="1440"/>
        <w:rPr>
          <w:color w:val="000000"/>
          <w:sz w:val="23"/>
          <w:szCs w:val="23"/>
        </w:rPr>
      </w:pPr>
      <w:r w:rsidDel="00000000" w:rsidR="00000000" w:rsidRPr="00000000">
        <w:rPr>
          <w:b w:val="1"/>
          <w:color w:val="000000"/>
          <w:sz w:val="23"/>
          <w:szCs w:val="23"/>
          <w:rtl w:val="0"/>
        </w:rPr>
        <w:t xml:space="preserve">Absent:</w:t>
      </w:r>
      <w:r w:rsidDel="00000000" w:rsidR="00000000" w:rsidRPr="00000000">
        <w:rPr>
          <w:color w:val="000000"/>
          <w:sz w:val="23"/>
          <w:szCs w:val="23"/>
          <w:rtl w:val="0"/>
        </w:rPr>
        <w:tab/>
        <w:t xml:space="preserve">Gilles Muller</w:t>
      </w:r>
    </w:p>
    <w:p w:rsidR="00000000" w:rsidDel="00000000" w:rsidP="00000000" w:rsidRDefault="00000000" w:rsidRPr="00000000" w14:paraId="00000015">
      <w:pPr>
        <w:spacing w:after="120" w:line="276" w:lineRule="auto"/>
        <w:ind w:left="1620" w:hanging="1440"/>
        <w:rPr>
          <w:color w:val="000000"/>
          <w:sz w:val="23"/>
          <w:szCs w:val="23"/>
        </w:rPr>
      </w:pPr>
      <w:r w:rsidDel="00000000" w:rsidR="00000000" w:rsidRPr="00000000">
        <w:rPr>
          <w:b w:val="1"/>
          <w:color w:val="000000"/>
          <w:sz w:val="23"/>
          <w:szCs w:val="23"/>
          <w:rtl w:val="0"/>
        </w:rPr>
        <w:t xml:space="preserve">Financial Impact:</w:t>
      </w:r>
      <w:r w:rsidDel="00000000" w:rsidR="00000000" w:rsidRPr="00000000">
        <w:rPr>
          <w:color w:val="000000"/>
          <w:sz w:val="23"/>
          <w:szCs w:val="23"/>
          <w:rtl w:val="0"/>
        </w:rPr>
        <w:t xml:space="preserve"> None</w:t>
      </w:r>
    </w:p>
    <w:p w:rsidR="00000000" w:rsidDel="00000000" w:rsidP="00000000" w:rsidRDefault="00000000" w:rsidRPr="00000000" w14:paraId="00000016">
      <w:pPr>
        <w:spacing w:after="120" w:line="276" w:lineRule="auto"/>
        <w:ind w:left="1620" w:hanging="1440"/>
        <w:rPr>
          <w:color w:val="000000"/>
          <w:sz w:val="23"/>
          <w:szCs w:val="23"/>
        </w:rPr>
      </w:pPr>
      <w:r w:rsidDel="00000000" w:rsidR="00000000" w:rsidRPr="00000000">
        <w:rPr>
          <w:b w:val="1"/>
          <w:color w:val="000000"/>
          <w:sz w:val="23"/>
          <w:szCs w:val="23"/>
          <w:rtl w:val="0"/>
        </w:rPr>
        <w:t xml:space="preserve">Workload Impact:</w:t>
      </w:r>
      <w:r w:rsidDel="00000000" w:rsidR="00000000" w:rsidRPr="00000000">
        <w:rPr>
          <w:color w:val="000000"/>
          <w:sz w:val="23"/>
          <w:szCs w:val="23"/>
          <w:rtl w:val="0"/>
        </w:rPr>
        <w:t xml:space="preserve"> Small initial workload for Academic Scheduling to modify the current final exam schedule, as well as update relevant documentation.</w:t>
      </w:r>
    </w:p>
    <w:p w:rsidR="00000000" w:rsidDel="00000000" w:rsidP="00000000" w:rsidRDefault="00000000" w:rsidRPr="00000000" w14:paraId="00000017">
      <w:pPr>
        <w:spacing w:after="120" w:line="276" w:lineRule="auto"/>
        <w:ind w:left="1620" w:hanging="1440"/>
        <w:rPr>
          <w:color w:val="000000"/>
          <w:sz w:val="23"/>
          <w:szCs w:val="23"/>
        </w:rPr>
      </w:pPr>
      <w:r w:rsidDel="00000000" w:rsidR="00000000" w:rsidRPr="00000000">
        <w:rPr>
          <w:rtl w:val="0"/>
        </w:rPr>
      </w:r>
    </w:p>
    <w:p w:rsidR="00000000" w:rsidDel="00000000" w:rsidP="00000000" w:rsidRDefault="00000000" w:rsidRPr="00000000" w14:paraId="00000018">
      <w:pPr>
        <w:spacing w:after="120" w:line="276" w:lineRule="auto"/>
        <w:ind w:left="1620" w:hanging="1440"/>
        <w:rPr>
          <w:b w:val="1"/>
          <w:color w:val="000000"/>
          <w:sz w:val="23"/>
          <w:szCs w:val="23"/>
        </w:rPr>
      </w:pPr>
      <w:r w:rsidDel="00000000" w:rsidR="00000000" w:rsidRPr="00000000">
        <w:rPr>
          <w:b w:val="1"/>
          <w:color w:val="000000"/>
          <w:sz w:val="23"/>
          <w:szCs w:val="23"/>
          <w:rtl w:val="0"/>
        </w:rPr>
        <w:t xml:space="preserve">Original Policy:</w:t>
      </w:r>
    </w:p>
    <w:p w:rsidR="00000000" w:rsidDel="00000000" w:rsidP="00000000" w:rsidRDefault="00000000" w:rsidRPr="00000000" w14:paraId="00000019">
      <w:pPr>
        <w:spacing w:after="120" w:line="276" w:lineRule="auto"/>
        <w:ind w:left="1620" w:hanging="1440"/>
        <w:rPr>
          <w:color w:val="000000"/>
          <w:sz w:val="23"/>
          <w:szCs w:val="23"/>
        </w:rPr>
      </w:pPr>
      <w:r w:rsidDel="00000000" w:rsidR="00000000" w:rsidRPr="00000000">
        <w:rPr>
          <w:b w:val="1"/>
          <w:color w:val="000000"/>
          <w:sz w:val="23"/>
          <w:szCs w:val="23"/>
          <w:rtl w:val="0"/>
        </w:rPr>
        <w:t xml:space="preserve">Approved:</w:t>
      </w:r>
      <w:r w:rsidDel="00000000" w:rsidR="00000000" w:rsidRPr="00000000">
        <w:rPr>
          <w:color w:val="000000"/>
          <w:sz w:val="23"/>
          <w:szCs w:val="23"/>
          <w:rtl w:val="0"/>
        </w:rPr>
        <w:t xml:space="preserve"> November 14, 2016</w:t>
      </w:r>
    </w:p>
    <w:p w:rsidR="00000000" w:rsidDel="00000000" w:rsidP="00000000" w:rsidRDefault="00000000" w:rsidRPr="00000000" w14:paraId="0000001A">
      <w:pPr>
        <w:spacing w:after="120" w:line="276" w:lineRule="auto"/>
        <w:ind w:left="1620" w:hanging="1440"/>
        <w:rPr>
          <w:color w:val="000000"/>
          <w:sz w:val="23"/>
          <w:szCs w:val="23"/>
        </w:rPr>
      </w:pPr>
      <w:r w:rsidDel="00000000" w:rsidR="00000000" w:rsidRPr="00000000">
        <w:rPr>
          <w:b w:val="1"/>
          <w:color w:val="000000"/>
          <w:sz w:val="23"/>
          <w:szCs w:val="23"/>
          <w:rtl w:val="0"/>
        </w:rPr>
        <w:t xml:space="preserve">Vote:</w:t>
      </w:r>
      <w:r w:rsidDel="00000000" w:rsidR="00000000" w:rsidRPr="00000000">
        <w:rPr>
          <w:color w:val="000000"/>
          <w:sz w:val="23"/>
          <w:szCs w:val="23"/>
          <w:rtl w:val="0"/>
        </w:rPr>
        <w:t xml:space="preserve"> 16-0-0</w:t>
      </w:r>
    </w:p>
    <w:p w:rsidR="00000000" w:rsidDel="00000000" w:rsidP="00000000" w:rsidRDefault="00000000" w:rsidRPr="00000000" w14:paraId="0000001B">
      <w:pPr>
        <w:spacing w:after="120" w:line="276" w:lineRule="auto"/>
        <w:ind w:left="1620" w:hanging="1440"/>
        <w:rPr>
          <w:color w:val="000000"/>
          <w:sz w:val="23"/>
          <w:szCs w:val="23"/>
        </w:rPr>
      </w:pPr>
      <w:r w:rsidDel="00000000" w:rsidR="00000000" w:rsidRPr="00000000">
        <w:rPr>
          <w:b w:val="1"/>
          <w:color w:val="000000"/>
          <w:sz w:val="23"/>
          <w:szCs w:val="23"/>
          <w:rtl w:val="0"/>
        </w:rPr>
        <w:t xml:space="preserve">Present:</w:t>
      </w:r>
      <w:r w:rsidDel="00000000" w:rsidR="00000000" w:rsidRPr="00000000">
        <w:rPr>
          <w:color w:val="000000"/>
          <w:sz w:val="23"/>
          <w:szCs w:val="23"/>
          <w:rtl w:val="0"/>
        </w:rPr>
        <w:t xml:space="preserve"> Campsey, Kaufman, Khan, Medina, Medrano, Miller, Nash, Ng (non-voting), Perea, Sen, Simpson, Spica, Sullivan-Green, Trousdale, Walters, Wilson, Whyte</w:t>
      </w:r>
    </w:p>
    <w:p w:rsidR="00000000" w:rsidDel="00000000" w:rsidP="00000000" w:rsidRDefault="00000000" w:rsidRPr="00000000" w14:paraId="0000001C">
      <w:pPr>
        <w:spacing w:after="120" w:line="276" w:lineRule="auto"/>
        <w:ind w:left="1620" w:hanging="1440"/>
        <w:rPr>
          <w:color w:val="000000"/>
          <w:sz w:val="23"/>
          <w:szCs w:val="23"/>
        </w:rPr>
      </w:pPr>
      <w:r w:rsidDel="00000000" w:rsidR="00000000" w:rsidRPr="00000000">
        <w:rPr>
          <w:b w:val="1"/>
          <w:color w:val="000000"/>
          <w:sz w:val="23"/>
          <w:szCs w:val="23"/>
          <w:rtl w:val="0"/>
        </w:rPr>
        <w:t xml:space="preserve">Financial Impact:</w:t>
      </w:r>
      <w:r w:rsidDel="00000000" w:rsidR="00000000" w:rsidRPr="00000000">
        <w:rPr>
          <w:color w:val="000000"/>
          <w:sz w:val="23"/>
          <w:szCs w:val="23"/>
          <w:rtl w:val="0"/>
        </w:rPr>
        <w:t xml:space="preserve"> None</w:t>
      </w:r>
    </w:p>
    <w:p w:rsidR="00000000" w:rsidDel="00000000" w:rsidP="00000000" w:rsidRDefault="00000000" w:rsidRPr="00000000" w14:paraId="0000001D">
      <w:pPr>
        <w:spacing w:after="120" w:line="276" w:lineRule="auto"/>
        <w:ind w:left="1620" w:hanging="1440"/>
        <w:rPr>
          <w:color w:val="000000"/>
          <w:sz w:val="23"/>
          <w:szCs w:val="23"/>
        </w:rPr>
      </w:pPr>
      <w:r w:rsidDel="00000000" w:rsidR="00000000" w:rsidRPr="00000000">
        <w:rPr>
          <w:b w:val="1"/>
          <w:color w:val="000000"/>
          <w:sz w:val="23"/>
          <w:szCs w:val="23"/>
          <w:rtl w:val="0"/>
        </w:rPr>
        <w:t xml:space="preserve">Workload Impact:</w:t>
      </w:r>
      <w:r w:rsidDel="00000000" w:rsidR="00000000" w:rsidRPr="00000000">
        <w:rPr>
          <w:color w:val="000000"/>
          <w:sz w:val="23"/>
          <w:szCs w:val="23"/>
          <w:rtl w:val="0"/>
        </w:rPr>
        <w:t xml:space="preserve"> Small workload addition for chairs to educate and consult with faculty members about appropriate culminating experiences.</w:t>
      </w:r>
    </w:p>
    <w:p w:rsidR="00000000" w:rsidDel="00000000" w:rsidP="00000000" w:rsidRDefault="00000000" w:rsidRPr="00000000" w14:paraId="0000001E">
      <w:pPr>
        <w:spacing w:line="288" w:lineRule="auto"/>
        <w:rPr>
          <w:b w:val="1"/>
          <w:color w:val="000000"/>
          <w:sz w:val="23"/>
          <w:szCs w:val="23"/>
        </w:rPr>
      </w:pPr>
      <w:r w:rsidDel="00000000" w:rsidR="00000000" w:rsidRPr="00000000">
        <w:rPr>
          <w:rtl w:val="0"/>
        </w:rPr>
      </w:r>
    </w:p>
    <w:p w:rsidR="00000000" w:rsidDel="00000000" w:rsidP="00000000" w:rsidRDefault="00000000" w:rsidRPr="00000000" w14:paraId="0000001F">
      <w:pPr>
        <w:spacing w:line="288" w:lineRule="auto"/>
        <w:rPr>
          <w:b w:val="1"/>
          <w:color w:val="000000"/>
          <w:sz w:val="23"/>
          <w:szCs w:val="23"/>
        </w:rPr>
        <w:sectPr>
          <w:footerReference r:id="rId10" w:type="default"/>
          <w:pgSz w:h="15840" w:w="12240" w:orient="portrait"/>
          <w:pgMar w:bottom="1699" w:top="1354" w:left="1238" w:right="1354" w:header="0" w:footer="1512"/>
          <w:lnNumType w:countBy="1" w:start="0" w:restart="continuous"/>
          <w:pgNumType w:start="1"/>
        </w:sectPr>
      </w:pPr>
      <w:r w:rsidDel="00000000" w:rsidR="00000000" w:rsidRPr="00000000">
        <w:rPr>
          <w:rtl w:val="0"/>
        </w:rPr>
      </w:r>
    </w:p>
    <w:p w:rsidR="00000000" w:rsidDel="00000000" w:rsidP="00000000" w:rsidRDefault="00000000" w:rsidRPr="00000000" w14:paraId="00000020">
      <w:pPr>
        <w:spacing w:line="276" w:lineRule="auto"/>
        <w:ind w:left="1440" w:right="1728" w:firstLine="10.999999999999943"/>
        <w:jc w:val="center"/>
        <w:rPr>
          <w:b w:val="1"/>
          <w:sz w:val="31"/>
          <w:szCs w:val="31"/>
        </w:rPr>
      </w:pPr>
      <w:r w:rsidDel="00000000" w:rsidR="00000000" w:rsidRPr="00000000">
        <w:rPr>
          <w:b w:val="1"/>
          <w:sz w:val="31"/>
          <w:szCs w:val="31"/>
          <w:rtl w:val="0"/>
        </w:rPr>
        <w:t xml:space="preserve">University Policy </w:t>
      </w:r>
    </w:p>
    <w:p w:rsidR="00000000" w:rsidDel="00000000" w:rsidP="00000000" w:rsidRDefault="00000000" w:rsidRPr="00000000" w14:paraId="00000021">
      <w:pPr>
        <w:spacing w:line="276" w:lineRule="auto"/>
        <w:ind w:left="720" w:right="1008" w:firstLine="10.999999999999943"/>
        <w:jc w:val="center"/>
        <w:rPr>
          <w:b w:val="1"/>
          <w:sz w:val="31"/>
          <w:szCs w:val="31"/>
        </w:rPr>
      </w:pPr>
      <w:r w:rsidDel="00000000" w:rsidR="00000000" w:rsidRPr="00000000">
        <w:rPr>
          <w:b w:val="1"/>
          <w:sz w:val="31"/>
          <w:szCs w:val="31"/>
          <w:rtl w:val="0"/>
        </w:rPr>
        <w:t xml:space="preserve">Culminating Activities and Final Examinations</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Faculty members are required to have a culminating activity for their courses.  Culminating activities can include a final examination, research paper, project, creative work, performance, portfolio, or other appropriate assignment. Supervision, internship, and individual study courses are not required to have a culminating activity.</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8"/>
          <w:szCs w:val="28"/>
        </w:rPr>
      </w:pPr>
      <w:r w:rsidDel="00000000" w:rsidR="00000000" w:rsidRPr="00000000">
        <w:rPr>
          <w:b w:val="1"/>
          <w:color w:val="000000"/>
          <w:sz w:val="28"/>
          <w:szCs w:val="28"/>
          <w:rtl w:val="0"/>
        </w:rPr>
        <w:t xml:space="preserve">Timing and Schedule for All Culminating Activities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Culminating activities, including final examinations, shall not be held or be due prior to the start of the culminating activity period for the given academic year term. They shall not be held or be due during the instructional period or on “Study/Conference Day.”</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All courses are assigned a day/time for their culminating activity to be held or be due based on the start time and meeting pattern of the course and its mode of instruction. These culminating activity </w:t>
      </w:r>
      <w:sdt>
        <w:sdtPr>
          <w:tag w:val="goog_rdk_0"/>
        </w:sdtPr>
        <w:sdtContent>
          <w:commentRangeStart w:id="0"/>
        </w:sdtContent>
      </w:sdt>
      <w:r w:rsidDel="00000000" w:rsidR="00000000" w:rsidRPr="00000000">
        <w:rPr>
          <w:color w:val="000000"/>
          <w:sz w:val="23"/>
          <w:szCs w:val="23"/>
          <w:rtl w:val="0"/>
        </w:rPr>
        <w:t xml:space="preserve">periods </w:t>
      </w:r>
      <w:commentRangeEnd w:id="0"/>
      <w:r w:rsidDel="00000000" w:rsidR="00000000" w:rsidRPr="00000000">
        <w:commentReference w:id="0"/>
      </w:r>
      <w:r w:rsidDel="00000000" w:rsidR="00000000" w:rsidRPr="00000000">
        <w:rPr>
          <w:color w:val="000000"/>
          <w:sz w:val="23"/>
          <w:szCs w:val="23"/>
          <w:rtl w:val="0"/>
        </w:rPr>
        <w:t xml:space="preserve">shall be scheduled during the final week of the academic year term, </w:t>
      </w:r>
      <w:sdt>
        <w:sdtPr>
          <w:tag w:val="goog_rdk_1"/>
        </w:sdtPr>
        <w:sdtContent>
          <w:commentRangeStart w:id="1"/>
        </w:sdtContent>
      </w:sdt>
      <w:r w:rsidDel="00000000" w:rsidR="00000000" w:rsidRPr="00000000">
        <w:rPr>
          <w:color w:val="000000"/>
          <w:sz w:val="23"/>
          <w:szCs w:val="23"/>
          <w:rtl w:val="0"/>
        </w:rPr>
        <w:t xml:space="preserve">as assigned in the academic calendar,</w:t>
      </w:r>
      <w:commentRangeEnd w:id="1"/>
      <w:r w:rsidDel="00000000" w:rsidR="00000000" w:rsidRPr="00000000">
        <w:commentReference w:id="1"/>
      </w:r>
      <w:r w:rsidDel="00000000" w:rsidR="00000000" w:rsidRPr="00000000">
        <w:rPr>
          <w:color w:val="000000"/>
          <w:sz w:val="23"/>
          <w:szCs w:val="23"/>
          <w:rtl w:val="0"/>
        </w:rPr>
        <w:t xml:space="preserve"> and shall:</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00"/>
        </w:tabs>
        <w:spacing w:after="0" w:before="180" w:line="276" w:lineRule="auto"/>
        <w:ind w:left="1639" w:right="518"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Be scheduled for no more than two hours in duration; </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00"/>
        </w:tabs>
        <w:spacing w:after="0" w:before="180" w:line="276" w:lineRule="auto"/>
        <w:ind w:left="1639" w:right="518"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Start no earlier than 0830; and,</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00"/>
        </w:tabs>
        <w:spacing w:after="0" w:before="180" w:line="276" w:lineRule="auto"/>
        <w:ind w:left="1639" w:right="518"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Be spaced a minimum of fifteen minutes apart.</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The schedule for the culminating activity period for each academic year term shall be published prior to the beginning of the registration period for that term.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000"/>
        </w:tabs>
        <w:spacing w:before="180" w:line="276" w:lineRule="auto"/>
        <w:ind w:left="1260" w:right="518" w:firstLine="0"/>
        <w:rPr>
          <w:color w:val="000000"/>
          <w:sz w:val="23"/>
          <w:szCs w:val="23"/>
        </w:rPr>
      </w:pPr>
      <w:r w:rsidDel="00000000" w:rsidR="00000000" w:rsidRPr="00000000">
        <w:rPr>
          <w:color w:val="000000"/>
          <w:sz w:val="23"/>
          <w:szCs w:val="23"/>
          <w:u w:val="single"/>
          <w:rtl w:val="0"/>
        </w:rPr>
        <w:t xml:space="preserve">Final Examinations or other Timed Culminating Activities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2000"/>
        </w:tabs>
        <w:spacing w:before="180" w:line="276" w:lineRule="auto"/>
        <w:ind w:left="1260" w:right="518" w:firstLine="0"/>
        <w:rPr>
          <w:color w:val="000000"/>
          <w:sz w:val="23"/>
          <w:szCs w:val="23"/>
        </w:rPr>
      </w:pPr>
      <w:r w:rsidDel="00000000" w:rsidR="00000000" w:rsidRPr="00000000">
        <w:rPr>
          <w:color w:val="000000"/>
          <w:sz w:val="23"/>
          <w:szCs w:val="23"/>
          <w:rtl w:val="0"/>
        </w:rPr>
        <w:t xml:space="preserve">In the case where there is to be a scheduled final examination, whether in person or online, it must occur during the scheduled culminating activity period for that course. If a final examination is to be a take-home examination, it may not be due prior to the start of the scheduled culminating activity period for that course.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2000"/>
        </w:tabs>
        <w:spacing w:before="180" w:line="276" w:lineRule="auto"/>
        <w:ind w:left="1260" w:right="518" w:firstLine="0"/>
        <w:rPr>
          <w:color w:val="000000"/>
          <w:sz w:val="23"/>
          <w:szCs w:val="23"/>
        </w:rPr>
      </w:pPr>
      <w:r w:rsidDel="00000000" w:rsidR="00000000" w:rsidRPr="00000000">
        <w:rPr>
          <w:color w:val="000000"/>
          <w:sz w:val="23"/>
          <w:szCs w:val="23"/>
          <w:rtl w:val="0"/>
        </w:rPr>
        <w:t xml:space="preserve">Courses with multiple sections may be assigned a day/time for a group final examination. This examination schedule will be announced at the beginning of the semester in the course syllabus. </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2000"/>
        </w:tabs>
        <w:spacing w:before="180" w:line="276" w:lineRule="auto"/>
        <w:ind w:left="1260" w:right="518" w:firstLine="0"/>
        <w:rPr>
          <w:color w:val="000000"/>
          <w:sz w:val="23"/>
          <w:szCs w:val="23"/>
        </w:rPr>
      </w:pPr>
      <w:r w:rsidDel="00000000" w:rsidR="00000000" w:rsidRPr="00000000">
        <w:rPr>
          <w:color w:val="000000"/>
          <w:sz w:val="23"/>
          <w:szCs w:val="23"/>
          <w:rtl w:val="0"/>
        </w:rPr>
        <w:t xml:space="preserve">Online or hybrid courses without a designated day or time will be able to select a culminating activity period from a designated list offered by the university.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2000"/>
        </w:tabs>
        <w:spacing w:before="180" w:line="276" w:lineRule="auto"/>
        <w:ind w:left="1260" w:right="518" w:firstLine="0"/>
        <w:rPr>
          <w:color w:val="000000"/>
          <w:sz w:val="23"/>
          <w:szCs w:val="23"/>
        </w:rPr>
      </w:pPr>
      <w:r w:rsidDel="00000000" w:rsidR="00000000" w:rsidRPr="00000000">
        <w:rPr>
          <w:color w:val="000000"/>
          <w:sz w:val="23"/>
          <w:szCs w:val="23"/>
          <w:u w:val="single"/>
          <w:rtl w:val="0"/>
        </w:rPr>
        <w:t xml:space="preserve">Submission Dates for Culminating Activities</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000"/>
        </w:tabs>
        <w:spacing w:before="180" w:line="276" w:lineRule="auto"/>
        <w:ind w:left="1260" w:right="518" w:firstLine="0"/>
        <w:rPr>
          <w:color w:val="000000"/>
          <w:sz w:val="23"/>
          <w:szCs w:val="23"/>
        </w:rPr>
      </w:pPr>
      <w:r w:rsidDel="00000000" w:rsidR="00000000" w:rsidRPr="00000000">
        <w:rPr>
          <w:color w:val="000000"/>
          <w:sz w:val="23"/>
          <w:szCs w:val="23"/>
          <w:rtl w:val="0"/>
        </w:rPr>
        <w:t xml:space="preserve">Submission dates and times for final papers, projects, creative works, portfolios, or other culminating activities shall fall no earlier than the beginning of the scheduled culminating activity period for the course.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8"/>
          <w:szCs w:val="28"/>
        </w:rPr>
      </w:pPr>
      <w:r w:rsidDel="00000000" w:rsidR="00000000" w:rsidRPr="00000000">
        <w:rPr>
          <w:b w:val="1"/>
          <w:color w:val="000000"/>
          <w:sz w:val="28"/>
          <w:szCs w:val="28"/>
          <w:rtl w:val="0"/>
        </w:rPr>
        <w:t xml:space="preserve">Exceptions to Timing and Schedule for Culminating Activities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Courses may have culminating activities where students cannot feasibly be examined during the scheduled culminating activity period. Instructors or course coordinators, as appropriate, shall provide a rationale for an exception to the college dean for approval, with notification to the department chair/director.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Students may request an excused absence for a culminating activity per the university Excused Absence Policy (</w:t>
      </w:r>
      <w:hyperlink r:id="rId11">
        <w:r w:rsidDel="00000000" w:rsidR="00000000" w:rsidRPr="00000000">
          <w:rPr>
            <w:color w:val="0000ff"/>
            <w:sz w:val="23"/>
            <w:szCs w:val="23"/>
            <w:u w:val="single"/>
            <w:rtl w:val="0"/>
          </w:rPr>
          <w:t xml:space="preserve">S22-2</w:t>
        </w:r>
      </w:hyperlink>
      <w:r w:rsidDel="00000000" w:rsidR="00000000" w:rsidRPr="00000000">
        <w:rPr>
          <w:color w:val="000000"/>
          <w:sz w:val="23"/>
          <w:szCs w:val="23"/>
          <w:rtl w:val="0"/>
        </w:rPr>
        <w:t xml:space="preserve">). Students should inform their instructor of the need to reschedule the culminating activity as quickly as feasible so a suitable alternative can be identified. </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A student may request the rescheduling of a culminating activity if three or more are held/due within a 24-hour period. Requests must be made at least three weeks prior to the last class meeting of the semester. If one of those culminating activities scheduled for that 24-hour period is an individual activity, such as a final paper or project, the deadline for that activity will be moved to a mutually agreeable time within the culminating activity period.</w:t>
      </w:r>
    </w:p>
    <w:sectPr>
      <w:type w:val="nextPage"/>
      <w:pgSz w:h="15840" w:w="12240" w:orient="portrait"/>
      <w:pgMar w:bottom="1584" w:top="1354" w:left="1238" w:right="1354" w:header="0" w:footer="1512"/>
      <w:lnNumType w:countBy="1" w:start="0" w:restart="continuou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aura Sullivan-Green" w:id="0" w:date="2024-04-10T12:07:00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we call these sessions so as not to confuse them with the totality of the culminating activity period?</w:t>
      </w:r>
    </w:p>
  </w:comment>
  <w:comment w:author="Laura Sullivan-Green" w:id="1" w:date="2024-04-10T12:10:00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clear that this is not the last days of the instructional period.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5" w15:done="0"/>
  <w15:commentEx w15:paraId="0000003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2997200</wp:posOffset>
              </wp:positionH>
              <wp:positionV relativeFrom="paragraph">
                <wp:posOffset>8940800</wp:posOffset>
              </wp:positionV>
              <wp:extent cx="192405" cy="213360"/>
              <wp:effectExtent b="0" l="0" r="0" t="0"/>
              <wp:wrapNone/>
              <wp:docPr id="3" name=""/>
              <a:graphic>
                <a:graphicData uri="http://schemas.microsoft.com/office/word/2010/wordprocessingShape">
                  <wps:wsp>
                    <wps:cNvSpPr/>
                    <wps:cNvPr id="2" name="Shape 2"/>
                    <wps:spPr>
                      <a:xfrm>
                        <a:off x="5259323" y="3682845"/>
                        <a:ext cx="173355" cy="194310"/>
                      </a:xfrm>
                      <a:prstGeom prst="rect">
                        <a:avLst/>
                      </a:prstGeom>
                      <a:noFill/>
                      <a:ln>
                        <a:noFill/>
                      </a:ln>
                    </wps:spPr>
                    <wps:txbx>
                      <w:txbxContent>
                        <w:p w:rsidR="00000000" w:rsidDel="00000000" w:rsidP="00000000" w:rsidRDefault="00000000" w:rsidRPr="00000000">
                          <w:pPr>
                            <w:spacing w:after="0" w:before="17.999999523162842" w:line="240"/>
                            <w:ind w:left="60" w:right="0" w:firstLine="120"/>
                            <w:jc w:val="left"/>
                            <w:textDirection w:val="btLr"/>
                          </w:pPr>
                          <w:r w:rsidDel="00000000" w:rsidR="00000000" w:rsidRPr="00000000">
                            <w:rPr>
                              <w:rFonts w:ascii="Arial" w:cs="Arial" w:eastAsia="Arial" w:hAnsi="Arial"/>
                              <w:b w:val="0"/>
                              <w:i w:val="0"/>
                              <w:smallCaps w:val="0"/>
                              <w:strike w:val="0"/>
                              <w:color w:val="000000"/>
                              <w:sz w:val="23"/>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2997200</wp:posOffset>
              </wp:positionH>
              <wp:positionV relativeFrom="paragraph">
                <wp:posOffset>8940800</wp:posOffset>
              </wp:positionV>
              <wp:extent cx="192405" cy="21336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92405" cy="2133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639" w:hanging="360"/>
      </w:pPr>
      <w:rPr>
        <w:rFonts w:ascii="Noto Sans Symbols" w:cs="Noto Sans Symbols" w:eastAsia="Noto Sans Symbols" w:hAnsi="Noto Sans Symbols"/>
      </w:rPr>
    </w:lvl>
    <w:lvl w:ilvl="1">
      <w:start w:val="1"/>
      <w:numFmt w:val="bullet"/>
      <w:lvlText w:val="o"/>
      <w:lvlJc w:val="left"/>
      <w:pPr>
        <w:ind w:left="2359" w:hanging="360"/>
      </w:pPr>
      <w:rPr>
        <w:rFonts w:ascii="Courier New" w:cs="Courier New" w:eastAsia="Courier New" w:hAnsi="Courier New"/>
      </w:rPr>
    </w:lvl>
    <w:lvl w:ilvl="2">
      <w:start w:val="1"/>
      <w:numFmt w:val="bullet"/>
      <w:lvlText w:val="▪"/>
      <w:lvlJc w:val="left"/>
      <w:pPr>
        <w:ind w:left="3079" w:hanging="360"/>
      </w:pPr>
      <w:rPr>
        <w:rFonts w:ascii="Noto Sans Symbols" w:cs="Noto Sans Symbols" w:eastAsia="Noto Sans Symbols" w:hAnsi="Noto Sans Symbols"/>
      </w:rPr>
    </w:lvl>
    <w:lvl w:ilvl="3">
      <w:start w:val="1"/>
      <w:numFmt w:val="bullet"/>
      <w:lvlText w:val="●"/>
      <w:lvlJc w:val="left"/>
      <w:pPr>
        <w:ind w:left="3799" w:hanging="360"/>
      </w:pPr>
      <w:rPr>
        <w:rFonts w:ascii="Noto Sans Symbols" w:cs="Noto Sans Symbols" w:eastAsia="Noto Sans Symbols" w:hAnsi="Noto Sans Symbols"/>
      </w:rPr>
    </w:lvl>
    <w:lvl w:ilvl="4">
      <w:start w:val="1"/>
      <w:numFmt w:val="bullet"/>
      <w:lvlText w:val="o"/>
      <w:lvlJc w:val="left"/>
      <w:pPr>
        <w:ind w:left="4519" w:hanging="360"/>
      </w:pPr>
      <w:rPr>
        <w:rFonts w:ascii="Courier New" w:cs="Courier New" w:eastAsia="Courier New" w:hAnsi="Courier New"/>
      </w:rPr>
    </w:lvl>
    <w:lvl w:ilvl="5">
      <w:start w:val="1"/>
      <w:numFmt w:val="bullet"/>
      <w:lvlText w:val="▪"/>
      <w:lvlJc w:val="left"/>
      <w:pPr>
        <w:ind w:left="5239" w:hanging="360"/>
      </w:pPr>
      <w:rPr>
        <w:rFonts w:ascii="Noto Sans Symbols" w:cs="Noto Sans Symbols" w:eastAsia="Noto Sans Symbols" w:hAnsi="Noto Sans Symbols"/>
      </w:rPr>
    </w:lvl>
    <w:lvl w:ilvl="6">
      <w:start w:val="1"/>
      <w:numFmt w:val="bullet"/>
      <w:lvlText w:val="●"/>
      <w:lvlJc w:val="left"/>
      <w:pPr>
        <w:ind w:left="5959" w:hanging="360"/>
      </w:pPr>
      <w:rPr>
        <w:rFonts w:ascii="Noto Sans Symbols" w:cs="Noto Sans Symbols" w:eastAsia="Noto Sans Symbols" w:hAnsi="Noto Sans Symbols"/>
      </w:rPr>
    </w:lvl>
    <w:lvl w:ilvl="7">
      <w:start w:val="1"/>
      <w:numFmt w:val="bullet"/>
      <w:lvlText w:val="o"/>
      <w:lvlJc w:val="left"/>
      <w:pPr>
        <w:ind w:left="6679" w:hanging="360"/>
      </w:pPr>
      <w:rPr>
        <w:rFonts w:ascii="Courier New" w:cs="Courier New" w:eastAsia="Courier New" w:hAnsi="Courier New"/>
      </w:rPr>
    </w:lvl>
    <w:lvl w:ilvl="8">
      <w:start w:val="1"/>
      <w:numFmt w:val="bullet"/>
      <w:lvlText w:val="▪"/>
      <w:lvlJc w:val="left"/>
      <w:pPr>
        <w:ind w:left="7399"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19" w:hanging="720"/>
    </w:pPr>
    <w:rPr>
      <w:b w:val="1"/>
      <w:sz w:val="23"/>
      <w:szCs w:val="23"/>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ind w:left="919" w:hanging="720"/>
      <w:outlineLvl w:val="0"/>
    </w:pPr>
    <w:rPr>
      <w:b w:val="1"/>
      <w:bCs w:val="1"/>
      <w:sz w:val="23"/>
      <w:szCs w:val="23"/>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ind w:left="1639" w:hanging="359"/>
    </w:pPr>
    <w:rPr>
      <w:sz w:val="23"/>
      <w:szCs w:val="23"/>
    </w:rPr>
  </w:style>
  <w:style w:type="paragraph" w:styleId="ListParagraph">
    <w:name w:val="List Paragraph"/>
    <w:basedOn w:val="Normal"/>
    <w:uiPriority w:val="1"/>
    <w:qFormat w:val="1"/>
    <w:pPr>
      <w:ind w:left="2359" w:hanging="359"/>
    </w:pPr>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C7251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72515"/>
    <w:rPr>
      <w:rFonts w:ascii="Segoe UI" w:cs="Segoe UI" w:eastAsia="Arial" w:hAnsi="Segoe UI"/>
      <w:sz w:val="18"/>
      <w:szCs w:val="18"/>
    </w:rPr>
  </w:style>
  <w:style w:type="character" w:styleId="CommentReference">
    <w:name w:val="annotation reference"/>
    <w:basedOn w:val="DefaultParagraphFont"/>
    <w:uiPriority w:val="99"/>
    <w:semiHidden w:val="1"/>
    <w:unhideWhenUsed w:val="1"/>
    <w:rsid w:val="00C72515"/>
    <w:rPr>
      <w:sz w:val="16"/>
      <w:szCs w:val="16"/>
    </w:rPr>
  </w:style>
  <w:style w:type="paragraph" w:styleId="CommentText">
    <w:name w:val="annotation text"/>
    <w:basedOn w:val="Normal"/>
    <w:link w:val="CommentTextChar"/>
    <w:uiPriority w:val="99"/>
    <w:semiHidden w:val="1"/>
    <w:unhideWhenUsed w:val="1"/>
    <w:rsid w:val="00C72515"/>
    <w:rPr>
      <w:sz w:val="20"/>
      <w:szCs w:val="20"/>
    </w:rPr>
  </w:style>
  <w:style w:type="character" w:styleId="CommentTextChar" w:customStyle="1">
    <w:name w:val="Comment Text Char"/>
    <w:basedOn w:val="DefaultParagraphFont"/>
    <w:link w:val="CommentText"/>
    <w:uiPriority w:val="99"/>
    <w:semiHidden w:val="1"/>
    <w:rsid w:val="00C72515"/>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C72515"/>
    <w:rPr>
      <w:b w:val="1"/>
      <w:bCs w:val="1"/>
    </w:rPr>
  </w:style>
  <w:style w:type="character" w:styleId="CommentSubjectChar" w:customStyle="1">
    <w:name w:val="Comment Subject Char"/>
    <w:basedOn w:val="CommentTextChar"/>
    <w:link w:val="CommentSubject"/>
    <w:uiPriority w:val="99"/>
    <w:semiHidden w:val="1"/>
    <w:rsid w:val="00C72515"/>
    <w:rPr>
      <w:rFonts w:ascii="Arial" w:cs="Arial" w:eastAsia="Arial" w:hAnsi="Arial"/>
      <w:b w:val="1"/>
      <w:bCs w:val="1"/>
      <w:sz w:val="20"/>
      <w:szCs w:val="20"/>
    </w:rPr>
  </w:style>
  <w:style w:type="paragraph" w:styleId="NormalWeb">
    <w:name w:val="Normal (Web)"/>
    <w:basedOn w:val="Normal"/>
    <w:uiPriority w:val="99"/>
    <w:semiHidden w:val="1"/>
    <w:unhideWhenUsed w:val="1"/>
    <w:rsid w:val="00250CA2"/>
    <w:pPr>
      <w:widowControl w:val="1"/>
      <w:spacing w:after="100" w:afterAutospacing="1" w:before="100" w:beforeAutospacing="1"/>
    </w:pPr>
    <w:rPr>
      <w:rFonts w:ascii="Times New Roman" w:cs="Times New Roman" w:eastAsia="Times New Roman" w:hAnsi="Times New Roman"/>
      <w:sz w:val="24"/>
      <w:szCs w:val="24"/>
    </w:rPr>
  </w:style>
  <w:style w:type="character" w:styleId="apple-tab-span" w:customStyle="1">
    <w:name w:val="apple-tab-span"/>
    <w:basedOn w:val="DefaultParagraphFont"/>
    <w:rsid w:val="00250CA2"/>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LineNumber">
    <w:name w:val="line number"/>
    <w:basedOn w:val="DefaultParagraphFont"/>
    <w:uiPriority w:val="99"/>
    <w:semiHidden w:val="1"/>
    <w:unhideWhenUsed w:val="1"/>
    <w:rsid w:val="005D31E6"/>
  </w:style>
  <w:style w:type="character" w:styleId="Hyperlink">
    <w:name w:val="Hyperlink"/>
    <w:basedOn w:val="DefaultParagraphFont"/>
    <w:uiPriority w:val="99"/>
    <w:unhideWhenUsed w:val="1"/>
    <w:rsid w:val="00C27D7A"/>
    <w:rPr>
      <w:color w:val="0000ff" w:themeColor="hyperlink"/>
      <w:u w:val="single"/>
    </w:rPr>
  </w:style>
  <w:style w:type="character" w:styleId="UnresolvedMention">
    <w:name w:val="Unresolved Mention"/>
    <w:basedOn w:val="DefaultParagraphFont"/>
    <w:uiPriority w:val="99"/>
    <w:semiHidden w:val="1"/>
    <w:unhideWhenUsed w:val="1"/>
    <w:rsid w:val="00C27D7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sjsu.edu/senate/docs/S22-2.pdf" TargetMode="External"/><Relationship Id="rId10" Type="http://schemas.openxmlformats.org/officeDocument/2006/relationships/footer" Target="footer1.xml"/><Relationship Id="rId9" Type="http://schemas.openxmlformats.org/officeDocument/2006/relationships/hyperlink" Target="https://www.sjsu.edu/senate/docs/S22-2.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ckaBEptL1w+kyhc+JIUJVqTXQ==">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2024-04-10T18:42:00Z</dcterms:created>
  <dc:creator>SJSU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Acrobat PDFMaker 23 for Word</vt:lpwstr>
  </property>
  <property fmtid="{D5CDD505-2E9C-101B-9397-08002B2CF9AE}" pid="4" name="LastSaved">
    <vt:filetime>2024-03-05T00:00:00Z</vt:filetime>
  </property>
  <property fmtid="{D5CDD505-2E9C-101B-9397-08002B2CF9AE}" pid="5" name="Producer">
    <vt:lpwstr>Adobe PDF Library 23.3.233</vt:lpwstr>
  </property>
  <property fmtid="{D5CDD505-2E9C-101B-9397-08002B2CF9AE}" pid="6" name="SourceModified">
    <vt:lpwstr>D:20230619195855</vt:lpwstr>
  </property>
  <property fmtid="{D5CDD505-2E9C-101B-9397-08002B2CF9AE}" pid="7" name="GrammarlyDocumentId">
    <vt:lpwstr>6f9b684f0860e744e773a0c414b07eab59ac4eab1575c1bf1ffc80c147c63d7d</vt:lpwstr>
  </property>
</Properties>
</file>