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9DAB8" w14:textId="77777777" w:rsidR="002F6AD3" w:rsidRPr="002F6AD3" w:rsidRDefault="002F6AD3" w:rsidP="00B83B91">
      <w:pPr>
        <w:ind w:left="-90" w:right="-90"/>
        <w:jc w:val="center"/>
        <w:rPr>
          <w:sz w:val="28"/>
          <w:szCs w:val="28"/>
        </w:rPr>
      </w:pPr>
    </w:p>
    <w:p w14:paraId="72320405" w14:textId="2D249EFF" w:rsidR="0008293C" w:rsidRPr="00310987" w:rsidRDefault="0008293C" w:rsidP="00B83B91">
      <w:pPr>
        <w:spacing w:after="120"/>
        <w:rPr>
          <w:sz w:val="22"/>
          <w:szCs w:val="22"/>
        </w:rPr>
      </w:pPr>
    </w:p>
    <w:p w14:paraId="74849AFE" w14:textId="77777777" w:rsidR="00B83B91" w:rsidRDefault="00B83B91" w:rsidP="00B83B91">
      <w:pPr>
        <w:jc w:val="center"/>
        <w:rPr>
          <w:b/>
          <w:sz w:val="28"/>
          <w:szCs w:val="28"/>
        </w:rPr>
      </w:pPr>
    </w:p>
    <w:p w14:paraId="03D138D1" w14:textId="79A1E6AB" w:rsidR="001F6230" w:rsidRPr="00A761D5" w:rsidRDefault="00945546" w:rsidP="00B83B91">
      <w:pPr>
        <w:jc w:val="center"/>
        <w:rPr>
          <w:rFonts w:ascii="Garamond" w:hAnsi="Garamond" w:cs="Arial"/>
          <w:b/>
          <w:sz w:val="32"/>
          <w:szCs w:val="32"/>
        </w:rPr>
      </w:pPr>
      <w:r w:rsidRPr="00A761D5">
        <w:rPr>
          <w:rFonts w:ascii="Garamond" w:hAnsi="Garamond" w:cs="Arial"/>
          <w:b/>
          <w:sz w:val="32"/>
          <w:szCs w:val="32"/>
        </w:rPr>
        <w:t>SAN JOSÉ STATE UNIVERSITY</w:t>
      </w:r>
    </w:p>
    <w:p w14:paraId="387CD4AE" w14:textId="1533641D" w:rsidR="00945546" w:rsidRPr="00A761D5" w:rsidRDefault="00945546" w:rsidP="00B83B91">
      <w:pPr>
        <w:pStyle w:val="Heading1"/>
        <w:rPr>
          <w:rFonts w:ascii="Garamond" w:hAnsi="Garamond"/>
          <w:sz w:val="28"/>
          <w:szCs w:val="28"/>
        </w:rPr>
      </w:pPr>
      <w:r w:rsidRPr="00A761D5">
        <w:rPr>
          <w:rFonts w:ascii="Garamond" w:hAnsi="Garamond"/>
          <w:sz w:val="28"/>
          <w:szCs w:val="28"/>
        </w:rPr>
        <w:t>DEPARTMENT OF URBAN AND REGIONAL PLANNING</w:t>
      </w:r>
      <w:r w:rsidR="00444C92" w:rsidRPr="00A761D5">
        <w:rPr>
          <w:rFonts w:ascii="Garamond" w:hAnsi="Garamond"/>
        </w:rPr>
        <w:br/>
      </w:r>
      <w:r w:rsidR="00307F61">
        <w:rPr>
          <w:rFonts w:ascii="Garamond" w:hAnsi="Garamond"/>
          <w:sz w:val="28"/>
          <w:szCs w:val="28"/>
        </w:rPr>
        <w:t>URBP 240</w:t>
      </w:r>
    </w:p>
    <w:p w14:paraId="0C7D6D4A" w14:textId="180293E2" w:rsidR="00444C92" w:rsidRPr="00A761D5" w:rsidRDefault="00A862BF" w:rsidP="00B83B91">
      <w:pPr>
        <w:pStyle w:val="Heading1"/>
        <w:rPr>
          <w:rFonts w:ascii="Garamond" w:hAnsi="Garamond"/>
        </w:rPr>
      </w:pPr>
      <w:r>
        <w:rPr>
          <w:rFonts w:ascii="Garamond" w:hAnsi="Garamond"/>
        </w:rPr>
        <w:t>SPRING 2023</w:t>
      </w:r>
    </w:p>
    <w:p w14:paraId="42D66EAC" w14:textId="4FB3FB7F" w:rsidR="00900850" w:rsidRPr="00A761D5" w:rsidRDefault="001A5851" w:rsidP="00B83B91">
      <w:pPr>
        <w:pStyle w:val="Heading2"/>
        <w:rPr>
          <w:rFonts w:ascii="Garamond" w:hAnsi="Garamond"/>
        </w:rPr>
      </w:pPr>
      <w:r w:rsidRPr="00A761D5">
        <w:rPr>
          <w:rFonts w:ascii="Arial" w:hAnsi="Arial"/>
        </w:rPr>
        <w:t xml:space="preserve">Course and Contact </w:t>
      </w:r>
      <w:r w:rsidR="00900850" w:rsidRPr="00A761D5">
        <w:rPr>
          <w:rFonts w:ascii="Arial" w:hAnsi="Arial"/>
        </w:rPr>
        <w:t>Information</w:t>
      </w:r>
      <w:r w:rsidR="000B30E6" w:rsidRPr="00A761D5">
        <w:rPr>
          <w:rFonts w:ascii="Garamond" w:hAnsi="Garamond"/>
        </w:rPr>
        <w:t xml:space="preserve"> </w:t>
      </w:r>
    </w:p>
    <w:p w14:paraId="2DDE70FA" w14:textId="77777777" w:rsidR="00643C0E" w:rsidRPr="00A761D5" w:rsidRDefault="00643C0E" w:rsidP="00643C0E">
      <w:pPr>
        <w:rPr>
          <w:rFonts w:ascii="Garamond" w:hAnsi="Garamond"/>
          <w:lang w:eastAsia="en-US"/>
        </w:rPr>
      </w:pPr>
    </w:p>
    <w:tbl>
      <w:tblPr>
        <w:tblW w:w="10710" w:type="dxa"/>
        <w:tblLayout w:type="fixed"/>
        <w:tblLook w:val="01E0" w:firstRow="1" w:lastRow="1" w:firstColumn="1" w:lastColumn="1" w:noHBand="0" w:noVBand="0"/>
      </w:tblPr>
      <w:tblGrid>
        <w:gridCol w:w="3060"/>
        <w:gridCol w:w="7650"/>
      </w:tblGrid>
      <w:tr w:rsidR="00444C92" w:rsidRPr="00A761D5" w14:paraId="48D45B04" w14:textId="77777777" w:rsidTr="00532CD7">
        <w:trPr>
          <w:trHeight w:val="432"/>
        </w:trPr>
        <w:tc>
          <w:tcPr>
            <w:tcW w:w="3060" w:type="dxa"/>
          </w:tcPr>
          <w:p w14:paraId="37609E91" w14:textId="27C41401" w:rsidR="00444C92" w:rsidRPr="00A761D5" w:rsidRDefault="00444C92" w:rsidP="00643C0E">
            <w:pPr>
              <w:rPr>
                <w:rFonts w:ascii="Garamond" w:hAnsi="Garamond"/>
              </w:rPr>
            </w:pPr>
            <w:r w:rsidRPr="00A761D5">
              <w:rPr>
                <w:rFonts w:ascii="Garamond" w:hAnsi="Garamond"/>
              </w:rPr>
              <w:t>Instructor</w:t>
            </w:r>
            <w:r w:rsidR="00643C0E" w:rsidRPr="00A761D5">
              <w:rPr>
                <w:rFonts w:ascii="Garamond" w:hAnsi="Garamond"/>
              </w:rPr>
              <w:t>(s)</w:t>
            </w:r>
            <w:r w:rsidRPr="00A761D5">
              <w:rPr>
                <w:rFonts w:ascii="Garamond" w:hAnsi="Garamond"/>
              </w:rPr>
              <w:t>:</w:t>
            </w:r>
          </w:p>
        </w:tc>
        <w:tc>
          <w:tcPr>
            <w:tcW w:w="7650" w:type="dxa"/>
          </w:tcPr>
          <w:p w14:paraId="10AFF19A" w14:textId="3D0C7276" w:rsidR="00444C92" w:rsidRPr="00074D76" w:rsidRDefault="00074D76" w:rsidP="00643C0E">
            <w:pPr>
              <w:rPr>
                <w:rFonts w:ascii="Garamond" w:hAnsi="Garamond"/>
              </w:rPr>
            </w:pPr>
            <w:r w:rsidRPr="00074D76">
              <w:rPr>
                <w:rFonts w:ascii="Garamond" w:hAnsi="Garamond"/>
              </w:rPr>
              <w:t>Greta Brownlow</w:t>
            </w:r>
            <w:r w:rsidR="00B77279">
              <w:rPr>
                <w:rFonts w:ascii="Garamond" w:hAnsi="Garamond"/>
              </w:rPr>
              <w:t>, PhD</w:t>
            </w:r>
          </w:p>
        </w:tc>
      </w:tr>
      <w:tr w:rsidR="00444C92" w:rsidRPr="00A761D5" w14:paraId="0867F442" w14:textId="77777777" w:rsidTr="00532CD7">
        <w:trPr>
          <w:trHeight w:val="432"/>
        </w:trPr>
        <w:tc>
          <w:tcPr>
            <w:tcW w:w="3060" w:type="dxa"/>
          </w:tcPr>
          <w:p w14:paraId="2E6EB758" w14:textId="085CE2C2" w:rsidR="00444C92" w:rsidRPr="00A761D5" w:rsidRDefault="00057EFF" w:rsidP="00643C0E">
            <w:pPr>
              <w:rPr>
                <w:rFonts w:ascii="Garamond" w:hAnsi="Garamond"/>
              </w:rPr>
            </w:pPr>
            <w:r>
              <w:rPr>
                <w:rFonts w:ascii="Garamond" w:hAnsi="Garamond"/>
              </w:rPr>
              <w:t>Email</w:t>
            </w:r>
            <w:r w:rsidR="00444C92" w:rsidRPr="00A761D5">
              <w:rPr>
                <w:rFonts w:ascii="Garamond" w:hAnsi="Garamond"/>
              </w:rPr>
              <w:t>:</w:t>
            </w:r>
          </w:p>
        </w:tc>
        <w:tc>
          <w:tcPr>
            <w:tcW w:w="7650" w:type="dxa"/>
          </w:tcPr>
          <w:p w14:paraId="687C6CD4" w14:textId="288D3061" w:rsidR="00444C92" w:rsidRPr="00074D76" w:rsidRDefault="00057EFF" w:rsidP="00057EFF">
            <w:pPr>
              <w:rPr>
                <w:rFonts w:ascii="Garamond" w:hAnsi="Garamond"/>
              </w:rPr>
            </w:pPr>
            <w:r w:rsidRPr="00074D76">
              <w:rPr>
                <w:rFonts w:ascii="Garamond" w:hAnsi="Garamond"/>
              </w:rPr>
              <w:t>greta.brownlow@sjsu.edu</w:t>
            </w:r>
            <w:r w:rsidR="00B77279">
              <w:rPr>
                <w:rFonts w:ascii="Garamond" w:hAnsi="Garamond"/>
              </w:rPr>
              <w:t>/greta.brownlow@gmail</w:t>
            </w:r>
            <w:r>
              <w:rPr>
                <w:rFonts w:ascii="Garamond" w:hAnsi="Garamond"/>
              </w:rPr>
              <w:t>.com</w:t>
            </w:r>
            <w:r w:rsidRPr="00074D76">
              <w:rPr>
                <w:rFonts w:ascii="Garamond" w:hAnsi="Garamond"/>
              </w:rPr>
              <w:t xml:space="preserve"> </w:t>
            </w:r>
          </w:p>
        </w:tc>
      </w:tr>
      <w:tr w:rsidR="00444C92" w:rsidRPr="00A761D5" w14:paraId="27BECE9E" w14:textId="77777777" w:rsidTr="00532CD7">
        <w:trPr>
          <w:trHeight w:val="432"/>
        </w:trPr>
        <w:tc>
          <w:tcPr>
            <w:tcW w:w="3060" w:type="dxa"/>
          </w:tcPr>
          <w:p w14:paraId="17124964" w14:textId="6D4C91DB" w:rsidR="00444C92" w:rsidRPr="00A761D5" w:rsidRDefault="00057EFF" w:rsidP="00643C0E">
            <w:pPr>
              <w:rPr>
                <w:rFonts w:ascii="Garamond" w:hAnsi="Garamond"/>
              </w:rPr>
            </w:pPr>
            <w:r>
              <w:rPr>
                <w:rFonts w:ascii="Garamond" w:hAnsi="Garamond"/>
              </w:rPr>
              <w:t>Telephone</w:t>
            </w:r>
            <w:r w:rsidR="00444C92" w:rsidRPr="00A761D5">
              <w:rPr>
                <w:rFonts w:ascii="Garamond" w:hAnsi="Garamond"/>
              </w:rPr>
              <w:t>:</w:t>
            </w:r>
          </w:p>
        </w:tc>
        <w:tc>
          <w:tcPr>
            <w:tcW w:w="7650" w:type="dxa"/>
          </w:tcPr>
          <w:p w14:paraId="33964AC2" w14:textId="040381C8" w:rsidR="00444C92" w:rsidRPr="00074D76" w:rsidRDefault="00057EFF" w:rsidP="00074D76">
            <w:pPr>
              <w:rPr>
                <w:rFonts w:ascii="Garamond" w:hAnsi="Garamond"/>
              </w:rPr>
            </w:pPr>
            <w:r w:rsidRPr="00074D76">
              <w:rPr>
                <w:rFonts w:ascii="Garamond" w:hAnsi="Garamond"/>
              </w:rPr>
              <w:t>510-206-3603 (for urgent matters only)</w:t>
            </w:r>
          </w:p>
        </w:tc>
      </w:tr>
      <w:tr w:rsidR="00444C92" w:rsidRPr="00A761D5" w14:paraId="3D7EFEED" w14:textId="77777777" w:rsidTr="00532CD7">
        <w:trPr>
          <w:trHeight w:val="432"/>
        </w:trPr>
        <w:tc>
          <w:tcPr>
            <w:tcW w:w="3060" w:type="dxa"/>
          </w:tcPr>
          <w:p w14:paraId="7D40B34D" w14:textId="59CB68D4" w:rsidR="00444C92" w:rsidRPr="00A761D5" w:rsidRDefault="00444C92" w:rsidP="00643C0E">
            <w:pPr>
              <w:rPr>
                <w:rFonts w:ascii="Garamond" w:hAnsi="Garamond"/>
              </w:rPr>
            </w:pPr>
            <w:r w:rsidRPr="00A761D5">
              <w:rPr>
                <w:rFonts w:ascii="Garamond" w:hAnsi="Garamond"/>
              </w:rPr>
              <w:t>Class Days/Time:</w:t>
            </w:r>
          </w:p>
        </w:tc>
        <w:tc>
          <w:tcPr>
            <w:tcW w:w="7650" w:type="dxa"/>
          </w:tcPr>
          <w:p w14:paraId="362B7D9F" w14:textId="08AD7768" w:rsidR="00444C92" w:rsidRPr="00074D76" w:rsidRDefault="00074D76" w:rsidP="00643C0E">
            <w:pPr>
              <w:rPr>
                <w:rFonts w:ascii="Garamond" w:hAnsi="Garamond"/>
              </w:rPr>
            </w:pPr>
            <w:r w:rsidRPr="00074D76">
              <w:rPr>
                <w:rFonts w:ascii="Garamond" w:hAnsi="Garamond"/>
              </w:rPr>
              <w:t>Monday 7:30-10</w:t>
            </w:r>
          </w:p>
        </w:tc>
      </w:tr>
      <w:tr w:rsidR="00444C92" w:rsidRPr="00A761D5" w14:paraId="1D6567B8" w14:textId="77777777" w:rsidTr="00483C9D">
        <w:trPr>
          <w:trHeight w:val="882"/>
        </w:trPr>
        <w:tc>
          <w:tcPr>
            <w:tcW w:w="3060" w:type="dxa"/>
          </w:tcPr>
          <w:p w14:paraId="10CBF114" w14:textId="7AEC5072" w:rsidR="000A310F" w:rsidRDefault="000A310F" w:rsidP="00643C0E">
            <w:pPr>
              <w:rPr>
                <w:rFonts w:ascii="Garamond" w:hAnsi="Garamond"/>
              </w:rPr>
            </w:pPr>
            <w:r>
              <w:rPr>
                <w:rFonts w:ascii="Garamond" w:hAnsi="Garamond"/>
              </w:rPr>
              <w:t>Room:</w:t>
            </w:r>
          </w:p>
          <w:p w14:paraId="1FADA767" w14:textId="77777777" w:rsidR="000A310F" w:rsidRDefault="000A310F" w:rsidP="00643C0E">
            <w:pPr>
              <w:rPr>
                <w:rFonts w:ascii="Garamond" w:hAnsi="Garamond"/>
              </w:rPr>
            </w:pPr>
          </w:p>
          <w:p w14:paraId="6CFD1A56" w14:textId="69995ACA" w:rsidR="00444C92" w:rsidRPr="00A761D5" w:rsidRDefault="00735466" w:rsidP="00643C0E">
            <w:pPr>
              <w:rPr>
                <w:rFonts w:ascii="Garamond" w:hAnsi="Garamond"/>
              </w:rPr>
            </w:pPr>
            <w:r>
              <w:rPr>
                <w:rFonts w:ascii="Garamond" w:hAnsi="Garamond"/>
              </w:rPr>
              <w:t>Zoom Link</w:t>
            </w:r>
            <w:r w:rsidR="005D3DC3" w:rsidRPr="00A761D5">
              <w:rPr>
                <w:rFonts w:ascii="Garamond" w:hAnsi="Garamond"/>
              </w:rPr>
              <w:t>:</w:t>
            </w:r>
          </w:p>
        </w:tc>
        <w:tc>
          <w:tcPr>
            <w:tcW w:w="7650" w:type="dxa"/>
          </w:tcPr>
          <w:p w14:paraId="56D730DB" w14:textId="4F0AEEC0" w:rsidR="000A310F" w:rsidRDefault="000A310F" w:rsidP="00483C9D">
            <w:pPr>
              <w:rPr>
                <w:rStyle w:val="meeting-start"/>
                <w:rFonts w:ascii="Garamond" w:eastAsia="Times New Roman" w:hAnsi="Garamond"/>
                <w:color w:val="232333"/>
                <w:sz w:val="22"/>
                <w:szCs w:val="22"/>
                <w:shd w:val="clear" w:color="auto" w:fill="FFFFFF"/>
              </w:rPr>
            </w:pPr>
            <w:r>
              <w:rPr>
                <w:rStyle w:val="meeting-start"/>
                <w:rFonts w:ascii="Garamond" w:eastAsia="Times New Roman" w:hAnsi="Garamond"/>
                <w:color w:val="232333"/>
                <w:sz w:val="22"/>
                <w:szCs w:val="22"/>
                <w:shd w:val="clear" w:color="auto" w:fill="FFFFFF"/>
              </w:rPr>
              <w:t>205 Clark Building</w:t>
            </w:r>
          </w:p>
          <w:p w14:paraId="187A1CC0" w14:textId="77777777" w:rsidR="000A310F" w:rsidRDefault="000A310F" w:rsidP="00483C9D">
            <w:pPr>
              <w:rPr>
                <w:rStyle w:val="meeting-start"/>
                <w:rFonts w:ascii="Garamond" w:eastAsia="Times New Roman" w:hAnsi="Garamond"/>
                <w:color w:val="232333"/>
                <w:sz w:val="22"/>
                <w:szCs w:val="22"/>
                <w:shd w:val="clear" w:color="auto" w:fill="FFFFFF"/>
              </w:rPr>
            </w:pPr>
          </w:p>
          <w:p w14:paraId="37E5AC3A" w14:textId="60EDFEBA" w:rsidR="00483C9D" w:rsidRPr="00CC1091" w:rsidRDefault="00CC1091" w:rsidP="00483C9D">
            <w:pPr>
              <w:rPr>
                <w:rFonts w:ascii="Garamond" w:eastAsia="Times New Roman" w:hAnsi="Garamond"/>
                <w:sz w:val="22"/>
                <w:szCs w:val="22"/>
                <w:lang w:eastAsia="en-US"/>
              </w:rPr>
            </w:pPr>
            <w:r w:rsidRPr="00CC1091">
              <w:rPr>
                <w:rFonts w:ascii="Garamond" w:hAnsi="Garamond"/>
                <w:sz w:val="22"/>
                <w:szCs w:val="22"/>
              </w:rPr>
              <w:t>Links for Zoom meetings to be provided as needed</w:t>
            </w:r>
            <w:r w:rsidR="00ED17C8" w:rsidRPr="00CC1091">
              <w:rPr>
                <w:rFonts w:ascii="Garamond" w:hAnsi="Garamond"/>
                <w:sz w:val="22"/>
                <w:szCs w:val="22"/>
              </w:rPr>
              <w:t xml:space="preserve"> </w:t>
            </w:r>
          </w:p>
          <w:p w14:paraId="44E84329" w14:textId="2F1E4910" w:rsidR="00076E0D" w:rsidRPr="00074D76" w:rsidRDefault="00076E0D" w:rsidP="00ED17C8">
            <w:pPr>
              <w:rPr>
                <w:rFonts w:ascii="Garamond" w:hAnsi="Garamond"/>
              </w:rPr>
            </w:pPr>
          </w:p>
        </w:tc>
      </w:tr>
      <w:tr w:rsidR="00076E0D" w:rsidRPr="00A761D5" w14:paraId="3BA5FBE4" w14:textId="77777777" w:rsidTr="00532CD7">
        <w:trPr>
          <w:trHeight w:val="432"/>
        </w:trPr>
        <w:tc>
          <w:tcPr>
            <w:tcW w:w="3060" w:type="dxa"/>
          </w:tcPr>
          <w:p w14:paraId="3B670AD2" w14:textId="19C62B85" w:rsidR="00076E0D" w:rsidRDefault="00076E0D" w:rsidP="00643C0E">
            <w:pPr>
              <w:rPr>
                <w:rFonts w:ascii="Garamond" w:hAnsi="Garamond"/>
              </w:rPr>
            </w:pPr>
            <w:r w:rsidRPr="00A761D5">
              <w:rPr>
                <w:rFonts w:ascii="Garamond" w:hAnsi="Garamond"/>
              </w:rPr>
              <w:t>Office Hours:</w:t>
            </w:r>
          </w:p>
        </w:tc>
        <w:tc>
          <w:tcPr>
            <w:tcW w:w="7650" w:type="dxa"/>
          </w:tcPr>
          <w:p w14:paraId="70339B88" w14:textId="3B768379" w:rsidR="00076E0D" w:rsidRPr="00ED17C8" w:rsidRDefault="00483C9D" w:rsidP="00076E0D">
            <w:pPr>
              <w:rPr>
                <w:rFonts w:ascii="Garamond" w:hAnsi="Garamond"/>
              </w:rPr>
            </w:pPr>
            <w:r>
              <w:rPr>
                <w:rFonts w:ascii="Garamond" w:hAnsi="Garamond"/>
              </w:rPr>
              <w:t xml:space="preserve">Upon request – please provide at least 24 hours notice to request a meeting, and I will set up a Zoom meeting </w:t>
            </w:r>
          </w:p>
          <w:p w14:paraId="7B16FAF1" w14:textId="77777777" w:rsidR="00076E0D" w:rsidRPr="00ED17C8" w:rsidRDefault="00076E0D" w:rsidP="00ED17C8">
            <w:pPr>
              <w:rPr>
                <w:rFonts w:ascii="Garamond" w:hAnsi="Garamond"/>
              </w:rPr>
            </w:pPr>
          </w:p>
        </w:tc>
      </w:tr>
    </w:tbl>
    <w:p w14:paraId="1E4F7227" w14:textId="2F820B48" w:rsidR="008725E5" w:rsidRPr="00B85400" w:rsidRDefault="008725E5" w:rsidP="008725E5">
      <w:pPr>
        <w:pStyle w:val="Heading2"/>
        <w:rPr>
          <w:rFonts w:ascii="Arial" w:hAnsi="Arial"/>
        </w:rPr>
      </w:pPr>
      <w:r w:rsidRPr="00B85400">
        <w:rPr>
          <w:rFonts w:ascii="Arial" w:hAnsi="Arial"/>
        </w:rPr>
        <w:t xml:space="preserve">Course </w:t>
      </w:r>
      <w:r w:rsidR="004B67ED" w:rsidRPr="00B85400">
        <w:rPr>
          <w:rFonts w:ascii="Arial" w:hAnsi="Arial"/>
        </w:rPr>
        <w:t xml:space="preserve">Catalog </w:t>
      </w:r>
      <w:r w:rsidR="00B85400" w:rsidRPr="00B85400">
        <w:rPr>
          <w:rFonts w:ascii="Arial" w:hAnsi="Arial"/>
        </w:rPr>
        <w:t xml:space="preserve">Description </w:t>
      </w:r>
    </w:p>
    <w:p w14:paraId="21ADA995" w14:textId="2AF78301" w:rsidR="008725E5" w:rsidRPr="00A761D5" w:rsidRDefault="00B85400" w:rsidP="00B85400">
      <w:pPr>
        <w:rPr>
          <w:rFonts w:ascii="Garamond" w:hAnsi="Garamond"/>
        </w:rPr>
      </w:pPr>
      <w:r w:rsidRPr="00A761D5">
        <w:rPr>
          <w:rFonts w:ascii="Garamond" w:hAnsi="Garamond"/>
        </w:rPr>
        <w:t>URBP 240: Examination of the fundamental concepts and issues related to urban environment that planners face. Focus on land use and open space planning, planning and use of urban resources, interactions of urban residents and the physical environment, and the role of government in formulating appropriate policies and strategies.</w:t>
      </w:r>
    </w:p>
    <w:p w14:paraId="2E659F13" w14:textId="09C41AB5" w:rsidR="00547D38" w:rsidRPr="00A761D5" w:rsidRDefault="001A5851" w:rsidP="00A761D5">
      <w:pPr>
        <w:pStyle w:val="Heading2"/>
        <w:rPr>
          <w:rFonts w:ascii="Arial" w:hAnsi="Arial"/>
        </w:rPr>
      </w:pPr>
      <w:r w:rsidRPr="004B67ED">
        <w:rPr>
          <w:rFonts w:ascii="Arial" w:hAnsi="Arial"/>
        </w:rPr>
        <w:t>Course Format</w:t>
      </w:r>
      <w:r w:rsidR="00C67BBA" w:rsidRPr="004B67ED">
        <w:rPr>
          <w:rFonts w:ascii="Arial" w:hAnsi="Arial"/>
        </w:rPr>
        <w:t xml:space="preserve"> </w:t>
      </w:r>
    </w:p>
    <w:p w14:paraId="39020ACC" w14:textId="7483DA2D" w:rsidR="009A7D8B" w:rsidRPr="00A761D5" w:rsidRDefault="00A862BF" w:rsidP="00B83B91">
      <w:pPr>
        <w:rPr>
          <w:rFonts w:ascii="Garamond" w:hAnsi="Garamond"/>
          <w:lang w:eastAsia="en-US"/>
        </w:rPr>
      </w:pPr>
      <w:r>
        <w:rPr>
          <w:rFonts w:ascii="Garamond" w:hAnsi="Garamond"/>
          <w:lang w:eastAsia="en-US"/>
        </w:rPr>
        <w:t>This course will be held weekly in person, with occasional Zoom meetings.</w:t>
      </w:r>
      <w:r w:rsidR="00B85400" w:rsidRPr="00A761D5">
        <w:rPr>
          <w:rFonts w:ascii="Garamond" w:hAnsi="Garamond"/>
          <w:lang w:eastAsia="en-US"/>
        </w:rPr>
        <w:t xml:space="preserve"> The Canvas platform will provide access to course materials and will function as a repository for </w:t>
      </w:r>
      <w:r w:rsidR="00675074" w:rsidRPr="00A761D5">
        <w:rPr>
          <w:rFonts w:ascii="Garamond" w:hAnsi="Garamond"/>
          <w:lang w:eastAsia="en-US"/>
        </w:rPr>
        <w:t xml:space="preserve">assignment submittals. </w:t>
      </w:r>
    </w:p>
    <w:p w14:paraId="05DA1B13" w14:textId="249058B8" w:rsidR="008418A1" w:rsidRDefault="008418A1" w:rsidP="00B83B91">
      <w:pPr>
        <w:pStyle w:val="Heading2"/>
      </w:pPr>
      <w:r w:rsidRPr="004B67ED">
        <w:rPr>
          <w:rFonts w:ascii="Arial" w:hAnsi="Arial"/>
        </w:rPr>
        <w:t xml:space="preserve">Course </w:t>
      </w:r>
      <w:r w:rsidR="004B67ED">
        <w:rPr>
          <w:rFonts w:ascii="Arial" w:hAnsi="Arial"/>
        </w:rPr>
        <w:t>Description</w:t>
      </w:r>
      <w:r w:rsidRPr="00310987">
        <w:t xml:space="preserve"> </w:t>
      </w:r>
    </w:p>
    <w:p w14:paraId="4442219B" w14:textId="77777777" w:rsidR="00675074" w:rsidRPr="007747C4" w:rsidRDefault="00675074" w:rsidP="00675074">
      <w:pPr>
        <w:pStyle w:val="BodyTextIndent"/>
        <w:spacing w:before="120"/>
        <w:ind w:left="0"/>
      </w:pPr>
      <w:r w:rsidRPr="006B4DC6">
        <w:t xml:space="preserve">This course is intended to provide an opportunity for students to understand the origins, applications, and policy implications of environmental planning in the U.S., with an emphasis on California. Because much planning with respect to the environment takes place through the process of assessing and mitigating environmental impacts resulting from various private and government actions, this course focuses </w:t>
      </w:r>
      <w:r>
        <w:t>also on</w:t>
      </w:r>
      <w:r w:rsidRPr="006B4DC6">
        <w:t xml:space="preserve"> compliance with environmental statutes and associated regulatory processes. This includes the California Environmental Quality Act (CEQA) at the state level, and the National Environmental Policy Act (NEPA) at the national level. Students will learn about the philosophical underpinnings and practical application of the process of environmental impact assessment, including its interplay with resource regulation, land use planning, and public decision-making. </w:t>
      </w:r>
      <w:r>
        <w:t>As an important but often contested element of land development, stakeholder participation in environmental planning and compliance (in particular the method by and extent to which it is undertaken) is a particular area of focus in this course.</w:t>
      </w:r>
    </w:p>
    <w:p w14:paraId="38100529" w14:textId="77777777" w:rsidR="00675074" w:rsidRPr="00A761D5" w:rsidRDefault="00675074" w:rsidP="00675074">
      <w:pPr>
        <w:widowControl w:val="0"/>
        <w:spacing w:before="120"/>
        <w:rPr>
          <w:rFonts w:ascii="Garamond" w:hAnsi="Garamond"/>
        </w:rPr>
      </w:pPr>
      <w:r w:rsidRPr="00A761D5">
        <w:rPr>
          <w:rFonts w:ascii="Garamond" w:hAnsi="Garamond"/>
        </w:rPr>
        <w:t>The course will cover a broad range of topics including:</w:t>
      </w:r>
    </w:p>
    <w:p w14:paraId="59A2C52B" w14:textId="77777777" w:rsidR="00675074" w:rsidRPr="00A761D5" w:rsidRDefault="00675074" w:rsidP="00675074">
      <w:pPr>
        <w:widowControl w:val="0"/>
        <w:spacing w:after="120"/>
        <w:ind w:left="360" w:hanging="360"/>
        <w:rPr>
          <w:rFonts w:ascii="Garamond" w:hAnsi="Garamond"/>
        </w:rPr>
      </w:pPr>
      <w:r w:rsidRPr="00A761D5">
        <w:rPr>
          <w:rFonts w:ascii="Garamond" w:hAnsi="Garamond"/>
        </w:rPr>
        <w:lastRenderedPageBreak/>
        <w:t>•</w:t>
      </w:r>
      <w:r w:rsidRPr="00A761D5">
        <w:rPr>
          <w:rFonts w:ascii="Garamond" w:hAnsi="Garamond"/>
        </w:rPr>
        <w:tab/>
        <w:t>History, Theory, Practice, and Regulation of Environmental Planning and Environmental Impact Assessment</w:t>
      </w:r>
    </w:p>
    <w:p w14:paraId="5472E334" w14:textId="77777777" w:rsidR="00675074" w:rsidRPr="00A761D5" w:rsidRDefault="00675074" w:rsidP="00675074">
      <w:pPr>
        <w:widowControl w:val="0"/>
        <w:spacing w:after="120"/>
        <w:ind w:left="360" w:hanging="360"/>
        <w:rPr>
          <w:rFonts w:ascii="Garamond" w:hAnsi="Garamond"/>
        </w:rPr>
      </w:pPr>
      <w:r w:rsidRPr="00A761D5">
        <w:rPr>
          <w:rFonts w:ascii="Garamond" w:hAnsi="Garamond"/>
        </w:rPr>
        <w:t>•</w:t>
      </w:r>
      <w:r w:rsidRPr="00A761D5">
        <w:rPr>
          <w:rFonts w:ascii="Garamond" w:hAnsi="Garamond"/>
        </w:rPr>
        <w:tab/>
        <w:t>Land Use Planning and the Environment</w:t>
      </w:r>
    </w:p>
    <w:p w14:paraId="568320E6" w14:textId="77777777" w:rsidR="00675074" w:rsidRPr="00A761D5" w:rsidRDefault="00675074" w:rsidP="00675074">
      <w:pPr>
        <w:widowControl w:val="0"/>
        <w:numPr>
          <w:ilvl w:val="0"/>
          <w:numId w:val="41"/>
        </w:numPr>
        <w:spacing w:after="120"/>
        <w:ind w:left="360"/>
        <w:rPr>
          <w:rFonts w:ascii="Garamond" w:hAnsi="Garamond"/>
        </w:rPr>
      </w:pPr>
      <w:r w:rsidRPr="00A761D5">
        <w:rPr>
          <w:rFonts w:ascii="Garamond" w:hAnsi="Garamond"/>
        </w:rPr>
        <w:t>Impact Analysis (NEPA &amp; CEQA)</w:t>
      </w:r>
    </w:p>
    <w:p w14:paraId="7F91FDAE" w14:textId="77777777" w:rsidR="00675074" w:rsidRPr="00A761D5" w:rsidRDefault="00675074" w:rsidP="00675074">
      <w:pPr>
        <w:widowControl w:val="0"/>
        <w:numPr>
          <w:ilvl w:val="0"/>
          <w:numId w:val="41"/>
        </w:numPr>
        <w:spacing w:after="120"/>
        <w:ind w:left="360"/>
        <w:rPr>
          <w:rFonts w:ascii="Garamond" w:hAnsi="Garamond"/>
        </w:rPr>
      </w:pPr>
      <w:r w:rsidRPr="00A761D5">
        <w:rPr>
          <w:rFonts w:ascii="Garamond" w:hAnsi="Garamond"/>
        </w:rPr>
        <w:t>Public Participation</w:t>
      </w:r>
    </w:p>
    <w:p w14:paraId="1EBDEC28" w14:textId="77777777" w:rsidR="00675074" w:rsidRPr="00A761D5" w:rsidRDefault="00675074" w:rsidP="00675074">
      <w:pPr>
        <w:widowControl w:val="0"/>
        <w:spacing w:after="120"/>
        <w:ind w:left="360" w:hanging="360"/>
        <w:rPr>
          <w:rFonts w:ascii="Garamond" w:hAnsi="Garamond"/>
        </w:rPr>
      </w:pPr>
      <w:r w:rsidRPr="00A761D5">
        <w:rPr>
          <w:rFonts w:ascii="Garamond" w:hAnsi="Garamond"/>
        </w:rPr>
        <w:t>•</w:t>
      </w:r>
      <w:r w:rsidRPr="00A761D5">
        <w:rPr>
          <w:rFonts w:ascii="Garamond" w:hAnsi="Garamond"/>
        </w:rPr>
        <w:tab/>
        <w:t>Climate Change and Sustainable Development</w:t>
      </w:r>
    </w:p>
    <w:p w14:paraId="77197C64" w14:textId="77777777" w:rsidR="00675074" w:rsidRPr="00A761D5" w:rsidRDefault="00675074" w:rsidP="00675074">
      <w:pPr>
        <w:pStyle w:val="ListParagraph"/>
        <w:widowControl w:val="0"/>
        <w:numPr>
          <w:ilvl w:val="0"/>
          <w:numId w:val="43"/>
        </w:numPr>
        <w:spacing w:after="120" w:line="276" w:lineRule="auto"/>
        <w:ind w:left="360"/>
        <w:rPr>
          <w:rFonts w:ascii="Garamond" w:hAnsi="Garamond"/>
        </w:rPr>
      </w:pPr>
      <w:r w:rsidRPr="00A761D5">
        <w:rPr>
          <w:rFonts w:ascii="Garamond" w:hAnsi="Garamond"/>
        </w:rPr>
        <w:t>Critical Review and Litigation of Impact Assessments</w:t>
      </w:r>
    </w:p>
    <w:p w14:paraId="27C5FB92" w14:textId="77777777" w:rsidR="00675074" w:rsidRDefault="00675074" w:rsidP="00675074">
      <w:pPr>
        <w:widowControl w:val="0"/>
        <w:numPr>
          <w:ilvl w:val="0"/>
          <w:numId w:val="42"/>
        </w:numPr>
        <w:spacing w:after="120"/>
        <w:ind w:left="360"/>
        <w:rPr>
          <w:rFonts w:ascii="Garamond" w:hAnsi="Garamond"/>
        </w:rPr>
      </w:pPr>
      <w:r w:rsidRPr="00A761D5">
        <w:rPr>
          <w:rFonts w:ascii="Garamond" w:hAnsi="Garamond"/>
        </w:rPr>
        <w:t>Federal and State Resource Regulation</w:t>
      </w:r>
    </w:p>
    <w:p w14:paraId="49BC2B41" w14:textId="52D44A3C" w:rsidR="0087138D" w:rsidRPr="00A761D5" w:rsidRDefault="0087138D" w:rsidP="00675074">
      <w:pPr>
        <w:widowControl w:val="0"/>
        <w:numPr>
          <w:ilvl w:val="0"/>
          <w:numId w:val="42"/>
        </w:numPr>
        <w:spacing w:after="120"/>
        <w:ind w:left="360"/>
        <w:rPr>
          <w:rFonts w:ascii="Garamond" w:hAnsi="Garamond"/>
        </w:rPr>
      </w:pPr>
      <w:r>
        <w:rPr>
          <w:rFonts w:ascii="Garamond" w:hAnsi="Garamond"/>
        </w:rPr>
        <w:t>Environmental Justice</w:t>
      </w:r>
    </w:p>
    <w:p w14:paraId="7150D199" w14:textId="77777777" w:rsidR="00675074" w:rsidRPr="00A761D5" w:rsidRDefault="00675074" w:rsidP="00675074">
      <w:pPr>
        <w:pStyle w:val="BodyTextIndent"/>
        <w:spacing w:before="120"/>
        <w:ind w:left="0"/>
      </w:pPr>
      <w:r w:rsidRPr="00A761D5">
        <w:t>Upon successful completion of this course, students will be able to:</w:t>
      </w:r>
    </w:p>
    <w:p w14:paraId="4485D850" w14:textId="77777777" w:rsidR="00675074" w:rsidRDefault="00675074" w:rsidP="00675074">
      <w:pPr>
        <w:pStyle w:val="BodyTextIndent"/>
        <w:widowControl w:val="0"/>
        <w:numPr>
          <w:ilvl w:val="0"/>
          <w:numId w:val="44"/>
        </w:numPr>
        <w:spacing w:before="120" w:after="0"/>
      </w:pPr>
      <w:r w:rsidRPr="00122416">
        <w:rPr>
          <w:rFonts w:cs="Garamond"/>
          <w:color w:val="000000"/>
        </w:rPr>
        <w:t>Identify the underlying factors and historical milestones that have led to the current approach to environmental planning in the U.S., and particularly in California</w:t>
      </w:r>
      <w:r>
        <w:rPr>
          <w:rFonts w:cs="Garamond"/>
          <w:color w:val="000000"/>
        </w:rPr>
        <w:t>;</w:t>
      </w:r>
      <w:r w:rsidRPr="00122416">
        <w:rPr>
          <w:rFonts w:cs="Garamond"/>
          <w:color w:val="000000"/>
        </w:rPr>
        <w:t xml:space="preserve"> </w:t>
      </w:r>
    </w:p>
    <w:p w14:paraId="5DC8471C" w14:textId="77777777" w:rsidR="00675074" w:rsidRPr="00122416" w:rsidRDefault="00675074" w:rsidP="00675074">
      <w:pPr>
        <w:pStyle w:val="BodyTextIndent"/>
        <w:widowControl w:val="0"/>
        <w:numPr>
          <w:ilvl w:val="0"/>
          <w:numId w:val="44"/>
        </w:numPr>
        <w:spacing w:before="120" w:after="0"/>
      </w:pPr>
      <w:r w:rsidRPr="006B4DC6">
        <w:rPr>
          <w:rFonts w:cs="Garamond"/>
          <w:color w:val="000000"/>
        </w:rPr>
        <w:t>Identify the key steps involved in the environmental assessment/review process</w:t>
      </w:r>
      <w:r>
        <w:rPr>
          <w:rFonts w:cs="Garamond"/>
          <w:color w:val="000000"/>
        </w:rPr>
        <w:t>, and understand how environmental impact assessment relates to other environmental regulatory mechanisms;</w:t>
      </w:r>
    </w:p>
    <w:p w14:paraId="675CD30A" w14:textId="77777777" w:rsidR="00675074" w:rsidRDefault="00675074" w:rsidP="00675074">
      <w:pPr>
        <w:pStyle w:val="BodyTextIndent"/>
        <w:widowControl w:val="0"/>
        <w:numPr>
          <w:ilvl w:val="0"/>
          <w:numId w:val="44"/>
        </w:numPr>
        <w:spacing w:before="120" w:after="0"/>
      </w:pPr>
      <w:r w:rsidRPr="00122416">
        <w:rPr>
          <w:rFonts w:cs="Garamond"/>
          <w:color w:val="000000"/>
        </w:rPr>
        <w:t>Understand</w:t>
      </w:r>
      <w:r w:rsidRPr="006B4DC6">
        <w:t xml:space="preserve"> how legal case law influences environmental planning and compliance;</w:t>
      </w:r>
    </w:p>
    <w:p w14:paraId="6F19069D" w14:textId="77777777" w:rsidR="00675074" w:rsidRDefault="00675074" w:rsidP="00675074">
      <w:pPr>
        <w:pStyle w:val="BodyTextIndent"/>
        <w:widowControl w:val="0"/>
        <w:numPr>
          <w:ilvl w:val="0"/>
          <w:numId w:val="44"/>
        </w:numPr>
        <w:spacing w:before="120" w:after="0"/>
      </w:pPr>
      <w:r w:rsidRPr="006B4DC6">
        <w:t xml:space="preserve">Understand the broader </w:t>
      </w:r>
      <w:r>
        <w:t>political and ethical</w:t>
      </w:r>
      <w:r w:rsidRPr="006B4DC6">
        <w:t xml:space="preserve"> implications of how environmental compliance is undertaken; </w:t>
      </w:r>
    </w:p>
    <w:p w14:paraId="2E1FA907" w14:textId="77777777" w:rsidR="00675074" w:rsidRPr="001A43D6" w:rsidRDefault="00675074" w:rsidP="00675074">
      <w:pPr>
        <w:pStyle w:val="BodyTextIndent"/>
        <w:widowControl w:val="0"/>
        <w:numPr>
          <w:ilvl w:val="0"/>
          <w:numId w:val="44"/>
        </w:numPr>
        <w:spacing w:before="120" w:after="0"/>
      </w:pPr>
      <w:r>
        <w:rPr>
          <w:rFonts w:cs="Garamond"/>
          <w:color w:val="000000"/>
        </w:rPr>
        <w:t xml:space="preserve">Interpret findings presented in environmental impact assessments conducted for a current planning project and assess the environmental, political, and policy implications of such findings; </w:t>
      </w:r>
    </w:p>
    <w:p w14:paraId="0FA42BEA" w14:textId="77777777" w:rsidR="00675074" w:rsidRPr="00070879" w:rsidRDefault="00675074" w:rsidP="00675074">
      <w:pPr>
        <w:pStyle w:val="BodyTextIndent"/>
        <w:widowControl w:val="0"/>
        <w:numPr>
          <w:ilvl w:val="0"/>
          <w:numId w:val="44"/>
        </w:numPr>
        <w:spacing w:before="120" w:after="0"/>
      </w:pPr>
      <w:r>
        <w:rPr>
          <w:rFonts w:cs="Garamond"/>
          <w:color w:val="000000"/>
        </w:rPr>
        <w:t xml:space="preserve">Gain exposure to current environmental planning challenges and opportunities; and </w:t>
      </w:r>
    </w:p>
    <w:p w14:paraId="28357698" w14:textId="77777777" w:rsidR="00675074" w:rsidRPr="00A549F1" w:rsidRDefault="00675074" w:rsidP="00675074">
      <w:pPr>
        <w:pStyle w:val="BodyTextIndent"/>
        <w:widowControl w:val="0"/>
        <w:numPr>
          <w:ilvl w:val="0"/>
          <w:numId w:val="44"/>
        </w:numPr>
        <w:spacing w:before="120" w:after="0"/>
      </w:pPr>
      <w:r>
        <w:rPr>
          <w:rFonts w:cs="Garamond"/>
          <w:color w:val="000000"/>
        </w:rPr>
        <w:t>Effectively participate in local environmental planning processes.</w:t>
      </w:r>
    </w:p>
    <w:p w14:paraId="62684D5B" w14:textId="0B1014DB" w:rsidR="0090187F" w:rsidRPr="00310987" w:rsidRDefault="0090187F" w:rsidP="000B30E6">
      <w:pPr>
        <w:pStyle w:val="Heading2"/>
      </w:pPr>
      <w:r w:rsidRPr="004B67ED">
        <w:rPr>
          <w:rFonts w:ascii="Arial" w:hAnsi="Arial"/>
        </w:rPr>
        <w:t>Course Learning Outcomes</w:t>
      </w:r>
      <w:r w:rsidR="000A13FF" w:rsidRPr="004B67ED">
        <w:rPr>
          <w:rFonts w:ascii="Arial" w:hAnsi="Arial"/>
        </w:rPr>
        <w:t xml:space="preserve"> (CLO)</w:t>
      </w:r>
      <w:r w:rsidR="008418A1">
        <w:t xml:space="preserve"> </w:t>
      </w:r>
    </w:p>
    <w:p w14:paraId="15114631" w14:textId="00991039" w:rsidR="00675074" w:rsidRPr="00A761D5" w:rsidRDefault="00675074" w:rsidP="00675074">
      <w:pPr>
        <w:spacing w:after="120"/>
        <w:rPr>
          <w:rFonts w:ascii="Garamond" w:hAnsi="Garamond" w:cs="Garamond"/>
          <w:color w:val="000000"/>
        </w:rPr>
      </w:pPr>
      <w:r w:rsidRPr="00A761D5">
        <w:rPr>
          <w:rFonts w:ascii="Garamond" w:hAnsi="Garamond" w:cs="Garamond"/>
          <w:color w:val="000000"/>
        </w:rPr>
        <w:t xml:space="preserve">This course partially covers the following Planning Accreditation Board Knowledge (PAB) Components: 1(a, c, e), 2(a, c, d, e), 3(b, c, d, e). </w:t>
      </w:r>
    </w:p>
    <w:p w14:paraId="52BE862A" w14:textId="77777777" w:rsidR="00675074" w:rsidRPr="00A761D5" w:rsidRDefault="00675074" w:rsidP="00675074">
      <w:pPr>
        <w:pStyle w:val="ListParagraph"/>
        <w:numPr>
          <w:ilvl w:val="0"/>
          <w:numId w:val="45"/>
        </w:numPr>
        <w:spacing w:beforeLines="1" w:before="2" w:afterLines="1" w:after="2" w:line="276" w:lineRule="auto"/>
        <w:rPr>
          <w:rFonts w:ascii="Garamond" w:hAnsi="Garamond"/>
          <w:szCs w:val="20"/>
        </w:rPr>
      </w:pPr>
      <w:r w:rsidRPr="00A761D5">
        <w:rPr>
          <w:rFonts w:ascii="Garamond" w:hAnsi="Garamond"/>
          <w:szCs w:val="20"/>
        </w:rPr>
        <w:t xml:space="preserve">General planning knowledge: The comprehension, representation, and use of ideas and information in the planning field, including appropriate perspectives from history, social science, and the design professions. </w:t>
      </w:r>
    </w:p>
    <w:p w14:paraId="722DD438"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a) Purpose and Meaning of Planning: appreciation of why planning is undertaken by communities, cities, regions, and nations, and the impact planning is expected to have. </w:t>
      </w:r>
    </w:p>
    <w:p w14:paraId="633355D0"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c) Planning Law: appreciation of the legal and institutional contexts within which planning occurs. </w:t>
      </w:r>
    </w:p>
    <w:p w14:paraId="436FF4F0"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e) The Future: understanding of the relationships between past, present, and future in planning domains, as well as the potential for methods of design, analysis, and intervention to influence the future. </w:t>
      </w:r>
    </w:p>
    <w:p w14:paraId="39147600" w14:textId="77777777" w:rsidR="00675074" w:rsidRPr="00A761D5" w:rsidRDefault="00675074" w:rsidP="00675074">
      <w:pPr>
        <w:spacing w:beforeLines="1" w:before="2" w:afterLines="1" w:after="2"/>
        <w:ind w:left="864"/>
        <w:rPr>
          <w:rFonts w:ascii="Garamond" w:hAnsi="Garamond"/>
          <w:szCs w:val="20"/>
        </w:rPr>
      </w:pPr>
    </w:p>
    <w:p w14:paraId="60FFBD88" w14:textId="77777777" w:rsidR="00675074" w:rsidRPr="00A761D5" w:rsidRDefault="00675074" w:rsidP="00675074">
      <w:pPr>
        <w:spacing w:beforeLines="1" w:before="2" w:afterLines="1" w:after="2"/>
        <w:ind w:left="720" w:hanging="360"/>
        <w:rPr>
          <w:rFonts w:ascii="Garamond" w:hAnsi="Garamond"/>
          <w:szCs w:val="20"/>
        </w:rPr>
      </w:pPr>
      <w:r w:rsidRPr="00A761D5">
        <w:rPr>
          <w:rFonts w:ascii="Garamond" w:hAnsi="Garamond"/>
          <w:szCs w:val="20"/>
        </w:rPr>
        <w:t xml:space="preserve">2.  </w:t>
      </w:r>
      <w:r w:rsidRPr="00A761D5">
        <w:rPr>
          <w:rFonts w:ascii="Garamond" w:hAnsi="Garamond"/>
          <w:szCs w:val="20"/>
        </w:rPr>
        <w:tab/>
        <w:t xml:space="preserve">Planning skills: The use and application of knowledge to perform specific tasks required in the practice of planning. </w:t>
      </w:r>
    </w:p>
    <w:p w14:paraId="4E16FAF3"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a) Research: tools for assembling and analyzing ideas and information from prior practice and scholarship, and from primary and secondary sources. </w:t>
      </w:r>
    </w:p>
    <w:p w14:paraId="62A60F5F"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c) Quantitative and Qualitative Methods: data collection, analysis and modeling tools for forecasting, policy analysis, and design of projects and plans. </w:t>
      </w:r>
    </w:p>
    <w:p w14:paraId="17A89A36"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e) Planning Process Methods: tools for stakeholder involvement, community engagement, and working with diverse communities. </w:t>
      </w:r>
    </w:p>
    <w:p w14:paraId="3A30D645" w14:textId="77777777" w:rsidR="00675074" w:rsidRPr="00A761D5" w:rsidRDefault="00675074" w:rsidP="00675074">
      <w:pPr>
        <w:spacing w:beforeLines="1" w:before="2" w:afterLines="1" w:after="2"/>
        <w:ind w:left="864"/>
        <w:rPr>
          <w:rFonts w:ascii="Garamond" w:hAnsi="Garamond"/>
          <w:szCs w:val="20"/>
        </w:rPr>
      </w:pPr>
    </w:p>
    <w:p w14:paraId="7E98E7EF" w14:textId="77777777" w:rsidR="00675074" w:rsidRPr="00A761D5" w:rsidRDefault="00675074" w:rsidP="00675074">
      <w:pPr>
        <w:spacing w:beforeLines="1" w:before="2" w:afterLines="1" w:after="2"/>
        <w:ind w:left="720" w:hanging="360"/>
        <w:rPr>
          <w:rFonts w:ascii="Garamond" w:hAnsi="Garamond"/>
          <w:szCs w:val="20"/>
        </w:rPr>
      </w:pPr>
      <w:r w:rsidRPr="00A761D5">
        <w:rPr>
          <w:rFonts w:ascii="Garamond" w:hAnsi="Garamond"/>
          <w:szCs w:val="20"/>
        </w:rPr>
        <w:lastRenderedPageBreak/>
        <w:t xml:space="preserve">3. </w:t>
      </w:r>
      <w:r w:rsidRPr="00A761D5">
        <w:rPr>
          <w:rFonts w:ascii="Garamond" w:hAnsi="Garamond"/>
          <w:szCs w:val="20"/>
        </w:rPr>
        <w:tab/>
        <w:t xml:space="preserve">Values and ethics: Values inform ethical and normative principles used to guide planning in a democratic society. The program shall appropriately incorporate issues of diversity and social justice into all required courses of the curriculum, including: </w:t>
      </w:r>
    </w:p>
    <w:p w14:paraId="4B06B7FB"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b) Governance and Participation: appreciation of the roles of officials, stakeholders, and community members in planned change. </w:t>
      </w:r>
    </w:p>
    <w:p w14:paraId="5BCCF146"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c) Sustainability and Environmental Quality: appreciation of natural resource and pollution control factors in planning, and understanding of how to create sustainable futures. </w:t>
      </w:r>
    </w:p>
    <w:p w14:paraId="6050E325" w14:textId="77777777" w:rsidR="00675074" w:rsidRPr="00A761D5" w:rsidRDefault="00675074" w:rsidP="00675074">
      <w:pPr>
        <w:spacing w:beforeLines="1" w:before="2" w:afterLines="1" w:after="2"/>
        <w:ind w:left="864"/>
        <w:rPr>
          <w:rFonts w:ascii="Garamond" w:hAnsi="Garamond"/>
          <w:szCs w:val="20"/>
        </w:rPr>
      </w:pPr>
      <w:r w:rsidRPr="00A761D5">
        <w:rPr>
          <w:rFonts w:ascii="Garamond" w:hAnsi="Garamond"/>
          <w:szCs w:val="20"/>
        </w:rPr>
        <w:t xml:space="preserve">d) Growth and Development: appreciation of economic, social, and cultural factors in urban and regional growth and change. </w:t>
      </w:r>
    </w:p>
    <w:p w14:paraId="1A26DEAE" w14:textId="77777777" w:rsidR="00675074" w:rsidRPr="00A761D5" w:rsidRDefault="00675074" w:rsidP="00675074">
      <w:pPr>
        <w:spacing w:beforeLines="1" w:before="2"/>
        <w:ind w:left="864"/>
        <w:rPr>
          <w:rFonts w:ascii="Garamond" w:hAnsi="Garamond"/>
          <w:szCs w:val="20"/>
        </w:rPr>
      </w:pPr>
      <w:r w:rsidRPr="00A761D5">
        <w:rPr>
          <w:rFonts w:ascii="Garamond" w:hAnsi="Garamond"/>
          <w:szCs w:val="20"/>
        </w:rPr>
        <w:t>e) Social Justice: appreciation of equity concerns in planning.</w:t>
      </w:r>
    </w:p>
    <w:p w14:paraId="760CC05A" w14:textId="073C964A" w:rsidR="00945546" w:rsidRPr="00A761D5" w:rsidRDefault="00675074" w:rsidP="00A761D5">
      <w:pPr>
        <w:spacing w:before="60"/>
        <w:rPr>
          <w:rFonts w:ascii="Garamond" w:hAnsi="Garamond"/>
          <w:color w:val="0D0D0D" w:themeColor="text1" w:themeTint="F2"/>
        </w:rPr>
      </w:pPr>
      <w:r w:rsidRPr="00A761D5">
        <w:rPr>
          <w:rFonts w:ascii="Garamond" w:hAnsi="Garamond"/>
          <w:color w:val="0D0D0D" w:themeColor="text1" w:themeTint="F2"/>
        </w:rPr>
        <w:t>A complete list of the PAB Knowledge Components can be found at</w:t>
      </w:r>
      <w:r w:rsidR="00A761D5">
        <w:rPr>
          <w:rFonts w:ascii="Garamond" w:hAnsi="Garamond"/>
          <w:color w:val="0D0D0D" w:themeColor="text1" w:themeTint="F2"/>
        </w:rPr>
        <w:t xml:space="preserve"> </w:t>
      </w:r>
      <w:hyperlink r:id="rId9" w:history="1">
        <w:r w:rsidRPr="00A761D5">
          <w:rPr>
            <w:rStyle w:val="Hyperlink"/>
            <w:rFonts w:ascii="Garamond" w:hAnsi="Garamond"/>
            <w:color w:val="0D0D0D" w:themeColor="text1" w:themeTint="F2"/>
          </w:rPr>
          <w:t>http://www.sjsu.edu/urbanplanning/courses/pabknowledge.html</w:t>
        </w:r>
      </w:hyperlink>
      <w:r w:rsidRPr="00A761D5">
        <w:rPr>
          <w:rFonts w:ascii="Garamond" w:hAnsi="Garamond"/>
          <w:color w:val="0D0D0D" w:themeColor="text1" w:themeTint="F2"/>
        </w:rPr>
        <w:t xml:space="preserve">.   </w:t>
      </w:r>
    </w:p>
    <w:p w14:paraId="5FD87A0A" w14:textId="7F87533D" w:rsidR="00444C92" w:rsidRPr="00310987" w:rsidRDefault="00076E0D" w:rsidP="00945546">
      <w:pPr>
        <w:pStyle w:val="Heading2"/>
      </w:pPr>
      <w:r>
        <w:rPr>
          <w:rFonts w:ascii="Arial" w:hAnsi="Arial"/>
        </w:rPr>
        <w:t xml:space="preserve">Required </w:t>
      </w:r>
      <w:r w:rsidR="00444C92" w:rsidRPr="004B67ED">
        <w:rPr>
          <w:rFonts w:ascii="Arial" w:hAnsi="Arial"/>
        </w:rPr>
        <w:t>Readings</w:t>
      </w:r>
      <w:r w:rsidR="00444C92" w:rsidRPr="00310987">
        <w:t xml:space="preserve"> </w:t>
      </w:r>
    </w:p>
    <w:p w14:paraId="5110004E" w14:textId="77777777" w:rsidR="00A761D5" w:rsidRPr="00A761D5" w:rsidRDefault="00A761D5" w:rsidP="00A761D5">
      <w:pPr>
        <w:rPr>
          <w:rFonts w:ascii="Garamond" w:hAnsi="Garamond"/>
        </w:rPr>
      </w:pPr>
      <w:r w:rsidRPr="00A761D5">
        <w:rPr>
          <w:rFonts w:ascii="Garamond" w:hAnsi="Garamond"/>
        </w:rPr>
        <w:t>All required course readings are listed in the course schedule below, and will be provided electronically via Canvas.</w:t>
      </w:r>
    </w:p>
    <w:p w14:paraId="7CF8EB9A" w14:textId="4F09ABC1" w:rsidR="00444C92" w:rsidRPr="00310987" w:rsidRDefault="00444C92" w:rsidP="00B83B91">
      <w:pPr>
        <w:pStyle w:val="Heading2"/>
      </w:pPr>
      <w:r w:rsidRPr="004B67ED">
        <w:rPr>
          <w:rFonts w:ascii="Arial" w:hAnsi="Arial"/>
        </w:rPr>
        <w:t>Library Liaison</w:t>
      </w:r>
      <w:r w:rsidRPr="00310987">
        <w:t xml:space="preserve"> </w:t>
      </w:r>
    </w:p>
    <w:p w14:paraId="06ECB425" w14:textId="77777777" w:rsidR="00A761D5" w:rsidRPr="00A761D5" w:rsidRDefault="00A761D5" w:rsidP="00A761D5">
      <w:pPr>
        <w:rPr>
          <w:rFonts w:ascii="Garamond" w:hAnsi="Garamond"/>
          <w:color w:val="0D0D0D" w:themeColor="text1" w:themeTint="F2"/>
        </w:rPr>
      </w:pPr>
      <w:r w:rsidRPr="00A761D5">
        <w:rPr>
          <w:rFonts w:ascii="Garamond" w:hAnsi="Garamond"/>
          <w:color w:val="0D0D0D" w:themeColor="text1" w:themeTint="F2"/>
        </w:rPr>
        <w:t xml:space="preserve">The SJSU Library Liaison for the Urban and Regional Planning Department is Ms. Toby Matoush. If you have questions, you can contact her at </w:t>
      </w:r>
      <w:hyperlink r:id="rId10" w:history="1">
        <w:r w:rsidRPr="00A761D5">
          <w:rPr>
            <w:rFonts w:ascii="Garamond" w:hAnsi="Garamond"/>
            <w:color w:val="0D0D0D" w:themeColor="text1" w:themeTint="F2"/>
          </w:rPr>
          <w:t>toby.matoush@sjsu.edu</w:t>
        </w:r>
      </w:hyperlink>
      <w:r w:rsidRPr="00A761D5">
        <w:rPr>
          <w:rFonts w:ascii="Garamond" w:hAnsi="Garamond"/>
          <w:color w:val="0D0D0D" w:themeColor="text1" w:themeTint="F2"/>
        </w:rPr>
        <w:t xml:space="preserve"> or 408-808-2096.</w:t>
      </w:r>
    </w:p>
    <w:p w14:paraId="0B0716B6" w14:textId="761897CA" w:rsidR="002D1995" w:rsidRDefault="002D1995" w:rsidP="00B83B91">
      <w:pPr>
        <w:pStyle w:val="Heading2"/>
      </w:pPr>
      <w:r w:rsidRPr="004B67ED">
        <w:rPr>
          <w:rFonts w:ascii="Arial" w:hAnsi="Arial"/>
        </w:rPr>
        <w:t>Course Requirements and Assignments</w:t>
      </w:r>
      <w:r w:rsidR="00C06E40">
        <w:t xml:space="preserve"> </w:t>
      </w:r>
    </w:p>
    <w:p w14:paraId="2CB1CB41" w14:textId="43D89B68" w:rsidR="00C724B2" w:rsidRDefault="00C724B2" w:rsidP="00FD3232">
      <w:pPr>
        <w:rPr>
          <w:rFonts w:ascii="Garamond" w:hAnsi="Garamond" w:cs="Garamond"/>
          <w:color w:val="0D0D0D" w:themeColor="text1" w:themeTint="F2"/>
        </w:rPr>
      </w:pPr>
      <w:r w:rsidRPr="00C724B2">
        <w:rPr>
          <w:rFonts w:ascii="Garamond" w:hAnsi="Garamond"/>
          <w:color w:val="0D0D0D" w:themeColor="text1" w:themeTint="F2"/>
        </w:rPr>
        <w:t>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practica.</w:t>
      </w:r>
      <w:r w:rsidRPr="009014B2">
        <w:rPr>
          <w:color w:val="0D0D0D" w:themeColor="text1" w:themeTint="F2"/>
        </w:rPr>
        <w:t xml:space="preserve"> </w:t>
      </w:r>
      <w:r w:rsidRPr="009014B2">
        <w:rPr>
          <w:rFonts w:ascii="Garamond" w:hAnsi="Garamond" w:cs="Garamond"/>
          <w:color w:val="0D0D0D" w:themeColor="text1" w:themeTint="F2"/>
        </w:rPr>
        <w:t xml:space="preserve">Because this is a four-unit class, you can expect to spend a minimum of nine hours per week in addition to time spent in class and on scheduled tutorials or activities. Special projects or assignments may require additional work for the course. </w:t>
      </w:r>
      <w:r w:rsidR="00B70EBF">
        <w:rPr>
          <w:rFonts w:ascii="Garamond" w:hAnsi="Garamond" w:cs="Garamond"/>
          <w:color w:val="0D0D0D" w:themeColor="text1" w:themeTint="F2"/>
        </w:rPr>
        <w:t>For each of the assignments required to be submitted, a separate description of the assignment requirements will be posted on Canvas.*</w:t>
      </w:r>
    </w:p>
    <w:p w14:paraId="3FA91373" w14:textId="77777777" w:rsidR="00FD3232" w:rsidRDefault="00FD3232" w:rsidP="00FD3232">
      <w:pPr>
        <w:rPr>
          <w:color w:val="0D0D0D" w:themeColor="text1" w:themeTint="F2"/>
        </w:rPr>
      </w:pPr>
    </w:p>
    <w:p w14:paraId="3252D2BF" w14:textId="6F0D36C9" w:rsidR="00B44430" w:rsidRPr="00FD3232" w:rsidRDefault="00B44430" w:rsidP="00B44430">
      <w:pPr>
        <w:pStyle w:val="BodyText"/>
        <w:rPr>
          <w:rFonts w:ascii="Garamond" w:hAnsi="Garamond"/>
          <w:color w:val="0D0D0D" w:themeColor="text1" w:themeTint="F2"/>
        </w:rPr>
      </w:pPr>
      <w:r w:rsidRPr="00FD3232">
        <w:rPr>
          <w:rFonts w:ascii="Garamond" w:hAnsi="Garamond"/>
          <w:color w:val="0D0D0D" w:themeColor="text1" w:themeTint="F2"/>
        </w:rPr>
        <w:t>Your grade for the course will be based on the following assignments and other activities:</w:t>
      </w:r>
    </w:p>
    <w:tbl>
      <w:tblPr>
        <w:tblW w:w="0" w:type="auto"/>
        <w:tblBorders>
          <w:top w:val="single" w:sz="4" w:space="0" w:color="auto"/>
          <w:bottom w:val="single" w:sz="4" w:space="0" w:color="auto"/>
        </w:tblBorders>
        <w:tblLook w:val="04A0" w:firstRow="1" w:lastRow="0" w:firstColumn="1" w:lastColumn="0" w:noHBand="0" w:noVBand="1"/>
      </w:tblPr>
      <w:tblGrid>
        <w:gridCol w:w="4773"/>
        <w:gridCol w:w="1183"/>
        <w:gridCol w:w="1345"/>
        <w:gridCol w:w="2275"/>
      </w:tblGrid>
      <w:tr w:rsidR="006446AC" w:rsidRPr="00FD3232" w14:paraId="4B09EA84" w14:textId="77777777" w:rsidTr="006446AC">
        <w:tc>
          <w:tcPr>
            <w:tcW w:w="4773" w:type="dxa"/>
            <w:tcBorders>
              <w:top w:val="single" w:sz="4" w:space="0" w:color="auto"/>
              <w:bottom w:val="single" w:sz="4" w:space="0" w:color="auto"/>
            </w:tcBorders>
            <w:shd w:val="clear" w:color="auto" w:fill="D9D9D9"/>
            <w:vAlign w:val="bottom"/>
          </w:tcPr>
          <w:p w14:paraId="52814733" w14:textId="77777777" w:rsidR="006446AC" w:rsidRPr="00FD3232" w:rsidRDefault="006446AC" w:rsidP="006446AC">
            <w:pPr>
              <w:pStyle w:val="CommentText"/>
              <w:rPr>
                <w:rFonts w:ascii="Garamond" w:hAnsi="Garamond"/>
                <w:b/>
                <w:color w:val="0D0D0D" w:themeColor="text1" w:themeTint="F2"/>
                <w:sz w:val="24"/>
                <w:szCs w:val="24"/>
              </w:rPr>
            </w:pPr>
            <w:r w:rsidRPr="00FD3232">
              <w:rPr>
                <w:rFonts w:ascii="Garamond" w:hAnsi="Garamond"/>
                <w:b/>
                <w:color w:val="0D0D0D" w:themeColor="text1" w:themeTint="F2"/>
                <w:sz w:val="24"/>
                <w:szCs w:val="24"/>
              </w:rPr>
              <w:t>Assignments</w:t>
            </w:r>
          </w:p>
        </w:tc>
        <w:tc>
          <w:tcPr>
            <w:tcW w:w="1183" w:type="dxa"/>
            <w:tcBorders>
              <w:top w:val="single" w:sz="4" w:space="0" w:color="auto"/>
              <w:bottom w:val="single" w:sz="4" w:space="0" w:color="auto"/>
            </w:tcBorders>
            <w:shd w:val="clear" w:color="auto" w:fill="D9D9D9"/>
          </w:tcPr>
          <w:p w14:paraId="44955355" w14:textId="77777777" w:rsidR="006446AC" w:rsidRPr="00FD3232" w:rsidRDefault="006446AC" w:rsidP="006446AC">
            <w:pPr>
              <w:pStyle w:val="CommentText"/>
              <w:jc w:val="center"/>
              <w:rPr>
                <w:rFonts w:ascii="Garamond" w:hAnsi="Garamond"/>
                <w:b/>
                <w:color w:val="0D0D0D" w:themeColor="text1" w:themeTint="F2"/>
                <w:sz w:val="24"/>
                <w:szCs w:val="24"/>
              </w:rPr>
            </w:pPr>
            <w:r w:rsidRPr="00FD3232">
              <w:rPr>
                <w:rFonts w:ascii="Garamond" w:hAnsi="Garamond"/>
                <w:b/>
                <w:color w:val="0D0D0D" w:themeColor="text1" w:themeTint="F2"/>
                <w:sz w:val="24"/>
                <w:szCs w:val="24"/>
              </w:rPr>
              <w:t>Due Date(s)</w:t>
            </w:r>
          </w:p>
        </w:tc>
        <w:tc>
          <w:tcPr>
            <w:tcW w:w="1345" w:type="dxa"/>
            <w:tcBorders>
              <w:top w:val="single" w:sz="4" w:space="0" w:color="auto"/>
              <w:bottom w:val="single" w:sz="4" w:space="0" w:color="auto"/>
            </w:tcBorders>
            <w:shd w:val="clear" w:color="auto" w:fill="D9D9D9"/>
            <w:vAlign w:val="bottom"/>
          </w:tcPr>
          <w:p w14:paraId="2FAABB9F" w14:textId="77777777" w:rsidR="006446AC" w:rsidRPr="00FD3232" w:rsidRDefault="006446AC" w:rsidP="006446AC">
            <w:pPr>
              <w:pStyle w:val="CommentText"/>
              <w:jc w:val="center"/>
              <w:rPr>
                <w:rFonts w:ascii="Garamond" w:hAnsi="Garamond"/>
                <w:b/>
                <w:color w:val="0D0D0D" w:themeColor="text1" w:themeTint="F2"/>
                <w:sz w:val="24"/>
                <w:szCs w:val="24"/>
              </w:rPr>
            </w:pPr>
            <w:r w:rsidRPr="00FD3232">
              <w:rPr>
                <w:rFonts w:ascii="Garamond" w:hAnsi="Garamond"/>
                <w:b/>
                <w:color w:val="0D0D0D" w:themeColor="text1" w:themeTint="F2"/>
                <w:sz w:val="24"/>
                <w:szCs w:val="24"/>
              </w:rPr>
              <w:t>Percent of Course Grade</w:t>
            </w:r>
          </w:p>
        </w:tc>
        <w:tc>
          <w:tcPr>
            <w:tcW w:w="2275" w:type="dxa"/>
            <w:tcBorders>
              <w:top w:val="single" w:sz="4" w:space="0" w:color="auto"/>
              <w:bottom w:val="single" w:sz="4" w:space="0" w:color="auto"/>
            </w:tcBorders>
            <w:shd w:val="clear" w:color="auto" w:fill="D9D9D9"/>
            <w:vAlign w:val="bottom"/>
          </w:tcPr>
          <w:p w14:paraId="43EC9123" w14:textId="77777777" w:rsidR="006446AC" w:rsidRPr="00FD3232" w:rsidRDefault="006446AC" w:rsidP="006446AC">
            <w:pPr>
              <w:pStyle w:val="CommentText"/>
              <w:jc w:val="center"/>
              <w:rPr>
                <w:rFonts w:ascii="Garamond" w:hAnsi="Garamond"/>
                <w:b/>
                <w:color w:val="0D0D0D" w:themeColor="text1" w:themeTint="F2"/>
                <w:sz w:val="24"/>
                <w:szCs w:val="24"/>
              </w:rPr>
            </w:pPr>
            <w:r w:rsidRPr="00FD3232">
              <w:rPr>
                <w:rFonts w:ascii="Garamond" w:hAnsi="Garamond"/>
                <w:b/>
                <w:color w:val="0D0D0D" w:themeColor="text1" w:themeTint="F2"/>
                <w:sz w:val="24"/>
                <w:szCs w:val="24"/>
              </w:rPr>
              <w:t xml:space="preserve">Course Learning </w:t>
            </w:r>
          </w:p>
          <w:p w14:paraId="6588C567" w14:textId="77777777" w:rsidR="006446AC" w:rsidRPr="00FD3232" w:rsidRDefault="006446AC" w:rsidP="006446AC">
            <w:pPr>
              <w:pStyle w:val="CommentText"/>
              <w:jc w:val="center"/>
              <w:rPr>
                <w:rFonts w:ascii="Garamond" w:hAnsi="Garamond"/>
                <w:b/>
                <w:color w:val="0D0D0D" w:themeColor="text1" w:themeTint="F2"/>
                <w:sz w:val="24"/>
                <w:szCs w:val="24"/>
              </w:rPr>
            </w:pPr>
            <w:r w:rsidRPr="00FD3232">
              <w:rPr>
                <w:rFonts w:ascii="Garamond" w:hAnsi="Garamond"/>
                <w:b/>
                <w:color w:val="0D0D0D" w:themeColor="text1" w:themeTint="F2"/>
                <w:sz w:val="24"/>
                <w:szCs w:val="24"/>
              </w:rPr>
              <w:t>Objectives Covered</w:t>
            </w:r>
          </w:p>
        </w:tc>
      </w:tr>
      <w:tr w:rsidR="005E1085" w:rsidRPr="00FD3232" w14:paraId="1C6D5081" w14:textId="77777777" w:rsidTr="006446AC">
        <w:tc>
          <w:tcPr>
            <w:tcW w:w="4773" w:type="dxa"/>
            <w:tcBorders>
              <w:top w:val="single" w:sz="4" w:space="0" w:color="auto"/>
              <w:bottom w:val="single" w:sz="4" w:space="0" w:color="auto"/>
            </w:tcBorders>
            <w:shd w:val="clear" w:color="auto" w:fill="auto"/>
          </w:tcPr>
          <w:p w14:paraId="6B947E46" w14:textId="334D563C" w:rsidR="005E1085" w:rsidRPr="00FD3232" w:rsidRDefault="005E1085" w:rsidP="006446AC">
            <w:pPr>
              <w:pStyle w:val="CommentText"/>
              <w:rPr>
                <w:rFonts w:ascii="Garamond" w:hAnsi="Garamond"/>
                <w:sz w:val="24"/>
                <w:szCs w:val="24"/>
              </w:rPr>
            </w:pPr>
            <w:r w:rsidRPr="00FD3232">
              <w:rPr>
                <w:rFonts w:ascii="Garamond" w:hAnsi="Garamond"/>
                <w:sz w:val="24"/>
                <w:szCs w:val="24"/>
              </w:rPr>
              <w:t>Reading Summaries</w:t>
            </w:r>
          </w:p>
        </w:tc>
        <w:tc>
          <w:tcPr>
            <w:tcW w:w="1183" w:type="dxa"/>
            <w:tcBorders>
              <w:top w:val="single" w:sz="4" w:space="0" w:color="auto"/>
              <w:bottom w:val="single" w:sz="4" w:space="0" w:color="auto"/>
            </w:tcBorders>
          </w:tcPr>
          <w:p w14:paraId="3ABD2F41" w14:textId="38F1F8F0" w:rsidR="005E1085" w:rsidRPr="00FD3232" w:rsidRDefault="005E1085" w:rsidP="006446AC">
            <w:pPr>
              <w:pStyle w:val="CommentText"/>
              <w:jc w:val="center"/>
              <w:rPr>
                <w:rFonts w:ascii="Garamond" w:hAnsi="Garamond"/>
                <w:color w:val="0D0D0D" w:themeColor="text1" w:themeTint="F2"/>
                <w:sz w:val="24"/>
                <w:szCs w:val="24"/>
              </w:rPr>
            </w:pPr>
            <w:r w:rsidRPr="00FD3232">
              <w:rPr>
                <w:rFonts w:ascii="Garamond" w:hAnsi="Garamond"/>
                <w:color w:val="0D0D0D" w:themeColor="text1" w:themeTint="F2"/>
                <w:sz w:val="24"/>
                <w:szCs w:val="24"/>
              </w:rPr>
              <w:t>weekly</w:t>
            </w:r>
          </w:p>
        </w:tc>
        <w:tc>
          <w:tcPr>
            <w:tcW w:w="1345" w:type="dxa"/>
            <w:tcBorders>
              <w:top w:val="single" w:sz="4" w:space="0" w:color="auto"/>
              <w:bottom w:val="single" w:sz="4" w:space="0" w:color="auto"/>
            </w:tcBorders>
            <w:shd w:val="clear" w:color="auto" w:fill="auto"/>
          </w:tcPr>
          <w:p w14:paraId="06CA92C7" w14:textId="35E7F16B" w:rsidR="005E1085" w:rsidRPr="00FD3232" w:rsidRDefault="005E1085" w:rsidP="006446AC">
            <w:pPr>
              <w:pStyle w:val="CommentText"/>
              <w:jc w:val="center"/>
              <w:rPr>
                <w:rFonts w:ascii="Garamond" w:hAnsi="Garamond"/>
                <w:color w:val="0D0D0D" w:themeColor="text1" w:themeTint="F2"/>
                <w:sz w:val="24"/>
                <w:szCs w:val="24"/>
              </w:rPr>
            </w:pPr>
            <w:r>
              <w:rPr>
                <w:rFonts w:ascii="Garamond" w:hAnsi="Garamond"/>
                <w:color w:val="0D0D0D" w:themeColor="text1" w:themeTint="F2"/>
                <w:sz w:val="24"/>
                <w:szCs w:val="24"/>
              </w:rPr>
              <w:t>15</w:t>
            </w:r>
            <w:r w:rsidRPr="00FD3232">
              <w:rPr>
                <w:rFonts w:ascii="Garamond" w:hAnsi="Garamond"/>
                <w:color w:val="0D0D0D" w:themeColor="text1" w:themeTint="F2"/>
                <w:sz w:val="24"/>
                <w:szCs w:val="24"/>
              </w:rPr>
              <w:t>%</w:t>
            </w:r>
          </w:p>
        </w:tc>
        <w:tc>
          <w:tcPr>
            <w:tcW w:w="2275" w:type="dxa"/>
            <w:tcBorders>
              <w:top w:val="single" w:sz="4" w:space="0" w:color="auto"/>
              <w:bottom w:val="single" w:sz="4" w:space="0" w:color="auto"/>
            </w:tcBorders>
            <w:shd w:val="clear" w:color="auto" w:fill="auto"/>
          </w:tcPr>
          <w:p w14:paraId="246D9EAE" w14:textId="1E2574BC" w:rsidR="005E1085" w:rsidRPr="00FD3232" w:rsidRDefault="005E1085" w:rsidP="006446AC">
            <w:pPr>
              <w:pStyle w:val="CommentText"/>
              <w:jc w:val="center"/>
              <w:rPr>
                <w:rFonts w:ascii="Garamond" w:hAnsi="Garamond"/>
                <w:sz w:val="24"/>
                <w:szCs w:val="24"/>
              </w:rPr>
            </w:pPr>
            <w:r w:rsidRPr="00FD3232">
              <w:rPr>
                <w:rFonts w:ascii="Garamond" w:hAnsi="Garamond"/>
                <w:sz w:val="24"/>
                <w:szCs w:val="24"/>
              </w:rPr>
              <w:t>1, 2, 3, 6 &amp; 7</w:t>
            </w:r>
          </w:p>
        </w:tc>
      </w:tr>
      <w:tr w:rsidR="005E1085" w:rsidRPr="00FD3232" w14:paraId="0B4E32CF" w14:textId="77777777" w:rsidTr="006446AC">
        <w:tc>
          <w:tcPr>
            <w:tcW w:w="4773" w:type="dxa"/>
            <w:tcBorders>
              <w:top w:val="single" w:sz="4" w:space="0" w:color="auto"/>
              <w:bottom w:val="single" w:sz="4" w:space="0" w:color="auto"/>
            </w:tcBorders>
            <w:shd w:val="clear" w:color="auto" w:fill="auto"/>
          </w:tcPr>
          <w:p w14:paraId="5676AB95" w14:textId="67CEB5B4" w:rsidR="005E1085" w:rsidRPr="00FD3232" w:rsidRDefault="00B70EBF" w:rsidP="006446AC">
            <w:pPr>
              <w:pStyle w:val="CommentText"/>
              <w:rPr>
                <w:rFonts w:ascii="Garamond" w:hAnsi="Garamond"/>
                <w:color w:val="0D0D0D" w:themeColor="text1" w:themeTint="F2"/>
                <w:sz w:val="24"/>
                <w:szCs w:val="24"/>
              </w:rPr>
            </w:pPr>
            <w:r>
              <w:rPr>
                <w:rFonts w:ascii="Garamond" w:hAnsi="Garamond"/>
                <w:sz w:val="24"/>
                <w:szCs w:val="24"/>
              </w:rPr>
              <w:t>Climate Change Assignment*</w:t>
            </w:r>
          </w:p>
        </w:tc>
        <w:tc>
          <w:tcPr>
            <w:tcW w:w="1183" w:type="dxa"/>
            <w:tcBorders>
              <w:top w:val="single" w:sz="4" w:space="0" w:color="auto"/>
              <w:bottom w:val="single" w:sz="4" w:space="0" w:color="auto"/>
            </w:tcBorders>
          </w:tcPr>
          <w:p w14:paraId="21A166F8" w14:textId="2636999E" w:rsidR="005E1085" w:rsidRPr="00FD3232" w:rsidRDefault="00A83C5D" w:rsidP="006446AC">
            <w:pPr>
              <w:pStyle w:val="CommentText"/>
              <w:jc w:val="center"/>
              <w:rPr>
                <w:rFonts w:ascii="Garamond" w:hAnsi="Garamond"/>
                <w:color w:val="0D0D0D" w:themeColor="text1" w:themeTint="F2"/>
                <w:sz w:val="24"/>
                <w:szCs w:val="24"/>
              </w:rPr>
            </w:pPr>
            <w:r>
              <w:rPr>
                <w:rFonts w:ascii="Garamond" w:hAnsi="Garamond"/>
                <w:color w:val="0D0D0D" w:themeColor="text1" w:themeTint="F2"/>
                <w:sz w:val="24"/>
                <w:szCs w:val="24"/>
              </w:rPr>
              <w:t>2/2</w:t>
            </w:r>
            <w:r w:rsidR="00FC5E62">
              <w:rPr>
                <w:rFonts w:ascii="Garamond" w:hAnsi="Garamond"/>
                <w:color w:val="0D0D0D" w:themeColor="text1" w:themeTint="F2"/>
                <w:sz w:val="24"/>
                <w:szCs w:val="24"/>
              </w:rPr>
              <w:t>1</w:t>
            </w:r>
          </w:p>
        </w:tc>
        <w:tc>
          <w:tcPr>
            <w:tcW w:w="1345" w:type="dxa"/>
            <w:tcBorders>
              <w:top w:val="single" w:sz="4" w:space="0" w:color="auto"/>
              <w:bottom w:val="single" w:sz="4" w:space="0" w:color="auto"/>
            </w:tcBorders>
            <w:shd w:val="clear" w:color="auto" w:fill="auto"/>
          </w:tcPr>
          <w:p w14:paraId="47F80AE4" w14:textId="5E9EC316" w:rsidR="005E1085" w:rsidRPr="00FD3232" w:rsidRDefault="005E1085" w:rsidP="006446AC">
            <w:pPr>
              <w:pStyle w:val="CommentText"/>
              <w:jc w:val="center"/>
              <w:rPr>
                <w:rFonts w:ascii="Garamond" w:hAnsi="Garamond"/>
                <w:color w:val="0D0D0D" w:themeColor="text1" w:themeTint="F2"/>
                <w:sz w:val="24"/>
                <w:szCs w:val="24"/>
              </w:rPr>
            </w:pPr>
            <w:r>
              <w:rPr>
                <w:rFonts w:ascii="Garamond" w:hAnsi="Garamond"/>
                <w:color w:val="0D0D0D" w:themeColor="text1" w:themeTint="F2"/>
                <w:sz w:val="24"/>
                <w:szCs w:val="24"/>
              </w:rPr>
              <w:t>20</w:t>
            </w:r>
            <w:r w:rsidRPr="006D47E2">
              <w:rPr>
                <w:rFonts w:ascii="Garamond" w:hAnsi="Garamond"/>
                <w:color w:val="0D0D0D" w:themeColor="text1" w:themeTint="F2"/>
                <w:sz w:val="24"/>
                <w:szCs w:val="24"/>
              </w:rPr>
              <w:t>%</w:t>
            </w:r>
          </w:p>
        </w:tc>
        <w:tc>
          <w:tcPr>
            <w:tcW w:w="2275" w:type="dxa"/>
            <w:tcBorders>
              <w:top w:val="single" w:sz="4" w:space="0" w:color="auto"/>
              <w:bottom w:val="single" w:sz="4" w:space="0" w:color="auto"/>
            </w:tcBorders>
            <w:shd w:val="clear" w:color="auto" w:fill="auto"/>
          </w:tcPr>
          <w:p w14:paraId="11C69BA8" w14:textId="0BAF01DB" w:rsidR="005E1085" w:rsidRPr="00FD3232" w:rsidRDefault="005E1085" w:rsidP="006446AC">
            <w:pPr>
              <w:pStyle w:val="CommentText"/>
              <w:jc w:val="center"/>
              <w:rPr>
                <w:rFonts w:ascii="Garamond" w:hAnsi="Garamond"/>
                <w:color w:val="0D0D0D" w:themeColor="text1" w:themeTint="F2"/>
                <w:sz w:val="24"/>
                <w:szCs w:val="24"/>
              </w:rPr>
            </w:pPr>
            <w:r w:rsidRPr="006D47E2">
              <w:rPr>
                <w:rFonts w:ascii="Garamond" w:hAnsi="Garamond"/>
                <w:sz w:val="24"/>
                <w:szCs w:val="24"/>
              </w:rPr>
              <w:t>2, 4, 6 &amp; 7</w:t>
            </w:r>
          </w:p>
        </w:tc>
      </w:tr>
      <w:tr w:rsidR="005E1085" w:rsidRPr="00FD3232" w14:paraId="7D90E850" w14:textId="77777777" w:rsidTr="006446AC">
        <w:tc>
          <w:tcPr>
            <w:tcW w:w="4773" w:type="dxa"/>
            <w:tcBorders>
              <w:top w:val="single" w:sz="4" w:space="0" w:color="auto"/>
              <w:bottom w:val="single" w:sz="4" w:space="0" w:color="auto"/>
            </w:tcBorders>
            <w:shd w:val="clear" w:color="auto" w:fill="auto"/>
          </w:tcPr>
          <w:p w14:paraId="51FFDA35" w14:textId="001D9AD4" w:rsidR="005E1085" w:rsidRPr="00FD3232" w:rsidRDefault="005E1085" w:rsidP="006446AC">
            <w:pPr>
              <w:pStyle w:val="CommentText"/>
              <w:rPr>
                <w:rFonts w:ascii="Garamond" w:hAnsi="Garamond"/>
                <w:color w:val="0D0D0D" w:themeColor="text1" w:themeTint="F2"/>
                <w:sz w:val="24"/>
                <w:szCs w:val="24"/>
              </w:rPr>
            </w:pPr>
            <w:r w:rsidRPr="00FD3232">
              <w:rPr>
                <w:rFonts w:ascii="Garamond" w:hAnsi="Garamond"/>
                <w:sz w:val="24"/>
                <w:szCs w:val="24"/>
              </w:rPr>
              <w:t>Current Topic Policy Brief Assignment</w:t>
            </w:r>
            <w:r w:rsidR="00B70EBF">
              <w:rPr>
                <w:rFonts w:ascii="Garamond" w:hAnsi="Garamond"/>
                <w:sz w:val="24"/>
                <w:szCs w:val="24"/>
              </w:rPr>
              <w:t>*</w:t>
            </w:r>
          </w:p>
        </w:tc>
        <w:tc>
          <w:tcPr>
            <w:tcW w:w="1183" w:type="dxa"/>
            <w:tcBorders>
              <w:top w:val="single" w:sz="4" w:space="0" w:color="auto"/>
              <w:bottom w:val="single" w:sz="4" w:space="0" w:color="auto"/>
            </w:tcBorders>
          </w:tcPr>
          <w:p w14:paraId="5F630722" w14:textId="2B2C867E" w:rsidR="005E1085" w:rsidRPr="00FD3232" w:rsidRDefault="0085647D" w:rsidP="006446AC">
            <w:pPr>
              <w:pStyle w:val="CommentText"/>
              <w:jc w:val="center"/>
              <w:rPr>
                <w:rFonts w:ascii="Garamond" w:hAnsi="Garamond"/>
                <w:color w:val="0D0D0D" w:themeColor="text1" w:themeTint="F2"/>
                <w:sz w:val="24"/>
                <w:szCs w:val="24"/>
              </w:rPr>
            </w:pPr>
            <w:r>
              <w:rPr>
                <w:rFonts w:ascii="Garamond" w:hAnsi="Garamond"/>
                <w:color w:val="0D0D0D" w:themeColor="text1" w:themeTint="F2"/>
                <w:sz w:val="24"/>
                <w:szCs w:val="24"/>
              </w:rPr>
              <w:t>3/</w:t>
            </w:r>
            <w:r w:rsidR="00FC5E62">
              <w:rPr>
                <w:rFonts w:ascii="Garamond" w:hAnsi="Garamond"/>
                <w:color w:val="0D0D0D" w:themeColor="text1" w:themeTint="F2"/>
                <w:sz w:val="24"/>
                <w:szCs w:val="24"/>
              </w:rPr>
              <w:t>14</w:t>
            </w:r>
          </w:p>
        </w:tc>
        <w:tc>
          <w:tcPr>
            <w:tcW w:w="1345" w:type="dxa"/>
            <w:tcBorders>
              <w:top w:val="single" w:sz="4" w:space="0" w:color="auto"/>
              <w:bottom w:val="single" w:sz="4" w:space="0" w:color="auto"/>
            </w:tcBorders>
            <w:shd w:val="clear" w:color="auto" w:fill="auto"/>
          </w:tcPr>
          <w:p w14:paraId="7515820F" w14:textId="513282DB" w:rsidR="005E1085" w:rsidRPr="00FD3232" w:rsidRDefault="005E1085" w:rsidP="006446AC">
            <w:pPr>
              <w:pStyle w:val="CommentText"/>
              <w:jc w:val="center"/>
              <w:rPr>
                <w:rFonts w:ascii="Garamond" w:hAnsi="Garamond"/>
                <w:color w:val="0D0D0D" w:themeColor="text1" w:themeTint="F2"/>
                <w:sz w:val="24"/>
                <w:szCs w:val="24"/>
              </w:rPr>
            </w:pPr>
            <w:r w:rsidRPr="00FD3232">
              <w:rPr>
                <w:rFonts w:ascii="Garamond" w:hAnsi="Garamond"/>
                <w:color w:val="0D0D0D" w:themeColor="text1" w:themeTint="F2"/>
                <w:sz w:val="24"/>
                <w:szCs w:val="24"/>
              </w:rPr>
              <w:t>20%</w:t>
            </w:r>
          </w:p>
        </w:tc>
        <w:tc>
          <w:tcPr>
            <w:tcW w:w="2275" w:type="dxa"/>
            <w:tcBorders>
              <w:top w:val="single" w:sz="4" w:space="0" w:color="auto"/>
              <w:bottom w:val="single" w:sz="4" w:space="0" w:color="auto"/>
            </w:tcBorders>
            <w:shd w:val="clear" w:color="auto" w:fill="auto"/>
          </w:tcPr>
          <w:p w14:paraId="552B6A11" w14:textId="19D2EEFE" w:rsidR="005E1085" w:rsidRPr="00FD3232" w:rsidRDefault="005E1085" w:rsidP="006446AC">
            <w:pPr>
              <w:pStyle w:val="CommentText"/>
              <w:jc w:val="center"/>
              <w:rPr>
                <w:rFonts w:ascii="Garamond" w:hAnsi="Garamond"/>
                <w:color w:val="0D0D0D" w:themeColor="text1" w:themeTint="F2"/>
                <w:sz w:val="24"/>
                <w:szCs w:val="24"/>
              </w:rPr>
            </w:pPr>
            <w:r w:rsidRPr="00FD3232">
              <w:rPr>
                <w:rFonts w:ascii="Garamond" w:hAnsi="Garamond"/>
                <w:sz w:val="24"/>
                <w:szCs w:val="24"/>
              </w:rPr>
              <w:t>1, 2, and 4</w:t>
            </w:r>
          </w:p>
        </w:tc>
      </w:tr>
      <w:tr w:rsidR="005E1085" w:rsidRPr="00FD3232" w14:paraId="65CF5CD0" w14:textId="77777777" w:rsidTr="006446AC">
        <w:tc>
          <w:tcPr>
            <w:tcW w:w="4773" w:type="dxa"/>
            <w:tcBorders>
              <w:top w:val="single" w:sz="4" w:space="0" w:color="auto"/>
              <w:bottom w:val="single" w:sz="4" w:space="0" w:color="auto"/>
            </w:tcBorders>
            <w:shd w:val="clear" w:color="auto" w:fill="auto"/>
          </w:tcPr>
          <w:p w14:paraId="3B2D329C" w14:textId="0AC961BA" w:rsidR="005E1085" w:rsidRPr="00FD3232" w:rsidRDefault="005E1085" w:rsidP="006446AC">
            <w:pPr>
              <w:pStyle w:val="CommentText"/>
              <w:rPr>
                <w:rFonts w:ascii="Garamond" w:hAnsi="Garamond"/>
                <w:sz w:val="24"/>
                <w:szCs w:val="24"/>
              </w:rPr>
            </w:pPr>
            <w:r w:rsidRPr="00FD3232">
              <w:rPr>
                <w:rFonts w:ascii="Garamond" w:hAnsi="Garamond"/>
                <w:sz w:val="24"/>
                <w:szCs w:val="24"/>
              </w:rPr>
              <w:t>CEQA Case Summary Assignment</w:t>
            </w:r>
            <w:r w:rsidR="00B70EBF">
              <w:rPr>
                <w:rFonts w:ascii="Garamond" w:hAnsi="Garamond"/>
                <w:sz w:val="24"/>
                <w:szCs w:val="24"/>
              </w:rPr>
              <w:t>*</w:t>
            </w:r>
            <w:r w:rsidRPr="00FD3232">
              <w:rPr>
                <w:rFonts w:ascii="Garamond" w:hAnsi="Garamond"/>
                <w:sz w:val="24"/>
                <w:szCs w:val="24"/>
              </w:rPr>
              <w:t xml:space="preserve"> </w:t>
            </w:r>
          </w:p>
        </w:tc>
        <w:tc>
          <w:tcPr>
            <w:tcW w:w="1183" w:type="dxa"/>
            <w:tcBorders>
              <w:top w:val="single" w:sz="4" w:space="0" w:color="auto"/>
              <w:bottom w:val="single" w:sz="4" w:space="0" w:color="auto"/>
            </w:tcBorders>
          </w:tcPr>
          <w:p w14:paraId="4FFB53BA" w14:textId="191C6464" w:rsidR="005E1085" w:rsidRPr="00FD3232" w:rsidRDefault="001E19DF" w:rsidP="006446AC">
            <w:pPr>
              <w:pStyle w:val="CommentText"/>
              <w:jc w:val="center"/>
              <w:rPr>
                <w:rFonts w:ascii="Garamond" w:hAnsi="Garamond"/>
                <w:color w:val="0D0D0D" w:themeColor="text1" w:themeTint="F2"/>
                <w:sz w:val="24"/>
                <w:szCs w:val="24"/>
              </w:rPr>
            </w:pPr>
            <w:r>
              <w:rPr>
                <w:rFonts w:ascii="Garamond" w:hAnsi="Garamond"/>
                <w:color w:val="0D0D0D" w:themeColor="text1" w:themeTint="F2"/>
                <w:sz w:val="24"/>
                <w:szCs w:val="24"/>
              </w:rPr>
              <w:t>4/18</w:t>
            </w:r>
          </w:p>
        </w:tc>
        <w:tc>
          <w:tcPr>
            <w:tcW w:w="1345" w:type="dxa"/>
            <w:tcBorders>
              <w:top w:val="single" w:sz="4" w:space="0" w:color="auto"/>
              <w:bottom w:val="single" w:sz="4" w:space="0" w:color="auto"/>
            </w:tcBorders>
            <w:shd w:val="clear" w:color="auto" w:fill="auto"/>
          </w:tcPr>
          <w:p w14:paraId="77C7E43A" w14:textId="77777777" w:rsidR="005E1085" w:rsidRPr="00FD3232" w:rsidRDefault="005E1085" w:rsidP="006446AC">
            <w:pPr>
              <w:pStyle w:val="CommentText"/>
              <w:jc w:val="center"/>
              <w:rPr>
                <w:rFonts w:ascii="Garamond" w:hAnsi="Garamond"/>
                <w:color w:val="0D0D0D" w:themeColor="text1" w:themeTint="F2"/>
                <w:sz w:val="24"/>
                <w:szCs w:val="24"/>
              </w:rPr>
            </w:pPr>
            <w:r w:rsidRPr="00FD3232">
              <w:rPr>
                <w:rFonts w:ascii="Garamond" w:hAnsi="Garamond"/>
                <w:color w:val="0D0D0D" w:themeColor="text1" w:themeTint="F2"/>
                <w:sz w:val="24"/>
                <w:szCs w:val="24"/>
              </w:rPr>
              <w:t>20%</w:t>
            </w:r>
          </w:p>
        </w:tc>
        <w:tc>
          <w:tcPr>
            <w:tcW w:w="2275" w:type="dxa"/>
            <w:tcBorders>
              <w:top w:val="single" w:sz="4" w:space="0" w:color="auto"/>
              <w:bottom w:val="single" w:sz="4" w:space="0" w:color="auto"/>
            </w:tcBorders>
            <w:shd w:val="clear" w:color="auto" w:fill="auto"/>
          </w:tcPr>
          <w:p w14:paraId="4A8B8738" w14:textId="77777777" w:rsidR="005E1085" w:rsidRPr="00FD3232" w:rsidRDefault="005E1085" w:rsidP="006446AC">
            <w:pPr>
              <w:pStyle w:val="CommentText"/>
              <w:jc w:val="center"/>
              <w:rPr>
                <w:rFonts w:ascii="Garamond" w:hAnsi="Garamond"/>
                <w:sz w:val="24"/>
                <w:szCs w:val="24"/>
              </w:rPr>
            </w:pPr>
            <w:r w:rsidRPr="00FD3232">
              <w:rPr>
                <w:rFonts w:ascii="Garamond" w:hAnsi="Garamond"/>
                <w:sz w:val="24"/>
                <w:szCs w:val="24"/>
              </w:rPr>
              <w:t>1 &amp; 3</w:t>
            </w:r>
          </w:p>
        </w:tc>
      </w:tr>
      <w:tr w:rsidR="005E1085" w:rsidRPr="00FD3232" w14:paraId="525B0D6A" w14:textId="77777777" w:rsidTr="006446AC">
        <w:tc>
          <w:tcPr>
            <w:tcW w:w="4773" w:type="dxa"/>
            <w:tcBorders>
              <w:top w:val="single" w:sz="4" w:space="0" w:color="auto"/>
              <w:bottom w:val="single" w:sz="4" w:space="0" w:color="auto"/>
            </w:tcBorders>
            <w:shd w:val="clear" w:color="auto" w:fill="auto"/>
          </w:tcPr>
          <w:p w14:paraId="792F064D" w14:textId="028A44D4" w:rsidR="005E1085" w:rsidRPr="00FD3232" w:rsidRDefault="005E1085" w:rsidP="006446AC">
            <w:pPr>
              <w:pStyle w:val="CommentText"/>
              <w:rPr>
                <w:rFonts w:ascii="Garamond" w:hAnsi="Garamond"/>
                <w:sz w:val="24"/>
                <w:szCs w:val="24"/>
              </w:rPr>
            </w:pPr>
            <w:r>
              <w:rPr>
                <w:rFonts w:ascii="Garamond" w:hAnsi="Garamond"/>
                <w:sz w:val="24"/>
                <w:szCs w:val="24"/>
              </w:rPr>
              <w:t>Environmental Assessment</w:t>
            </w:r>
            <w:r w:rsidRPr="00FD3232">
              <w:rPr>
                <w:rFonts w:ascii="Garamond" w:hAnsi="Garamond"/>
                <w:sz w:val="24"/>
                <w:szCs w:val="24"/>
              </w:rPr>
              <w:t xml:space="preserve"> Assignment </w:t>
            </w:r>
          </w:p>
          <w:p w14:paraId="1C11A91E" w14:textId="6AB6E493" w:rsidR="005E1085" w:rsidRPr="00FD3232" w:rsidRDefault="005E1085" w:rsidP="006446AC">
            <w:pPr>
              <w:pStyle w:val="CommentText"/>
              <w:rPr>
                <w:rFonts w:ascii="Garamond" w:hAnsi="Garamond"/>
                <w:color w:val="0D0D0D" w:themeColor="text1" w:themeTint="F2"/>
                <w:sz w:val="24"/>
                <w:szCs w:val="24"/>
              </w:rPr>
            </w:pPr>
            <w:r w:rsidRPr="00FD3232">
              <w:rPr>
                <w:rFonts w:ascii="Garamond" w:hAnsi="Garamond"/>
                <w:sz w:val="24"/>
                <w:szCs w:val="24"/>
              </w:rPr>
              <w:t>(Engagement Activity)</w:t>
            </w:r>
            <w:r w:rsidR="00B70EBF">
              <w:rPr>
                <w:rFonts w:ascii="Garamond" w:hAnsi="Garamond"/>
                <w:sz w:val="24"/>
                <w:szCs w:val="24"/>
              </w:rPr>
              <w:t>*</w:t>
            </w:r>
          </w:p>
        </w:tc>
        <w:tc>
          <w:tcPr>
            <w:tcW w:w="1183" w:type="dxa"/>
            <w:tcBorders>
              <w:top w:val="single" w:sz="4" w:space="0" w:color="auto"/>
              <w:bottom w:val="single" w:sz="4" w:space="0" w:color="auto"/>
            </w:tcBorders>
          </w:tcPr>
          <w:p w14:paraId="6C91A229" w14:textId="195FE3C2" w:rsidR="005E1085" w:rsidRPr="00FD3232" w:rsidRDefault="0085647D" w:rsidP="006446AC">
            <w:pPr>
              <w:pStyle w:val="CommentText"/>
              <w:jc w:val="center"/>
              <w:rPr>
                <w:rFonts w:ascii="Garamond" w:hAnsi="Garamond"/>
                <w:color w:val="0D0D0D" w:themeColor="text1" w:themeTint="F2"/>
                <w:sz w:val="24"/>
                <w:szCs w:val="24"/>
              </w:rPr>
            </w:pPr>
            <w:r>
              <w:rPr>
                <w:rFonts w:ascii="Garamond" w:hAnsi="Garamond"/>
                <w:color w:val="0D0D0D" w:themeColor="text1" w:themeTint="F2"/>
                <w:sz w:val="24"/>
                <w:szCs w:val="24"/>
              </w:rPr>
              <w:t>5/16</w:t>
            </w:r>
          </w:p>
        </w:tc>
        <w:tc>
          <w:tcPr>
            <w:tcW w:w="1345" w:type="dxa"/>
            <w:tcBorders>
              <w:top w:val="single" w:sz="4" w:space="0" w:color="auto"/>
              <w:bottom w:val="single" w:sz="4" w:space="0" w:color="auto"/>
            </w:tcBorders>
            <w:shd w:val="clear" w:color="auto" w:fill="auto"/>
          </w:tcPr>
          <w:p w14:paraId="2A06FCED" w14:textId="77777777" w:rsidR="005E1085" w:rsidRPr="00FD3232" w:rsidRDefault="005E1085" w:rsidP="006446AC">
            <w:pPr>
              <w:pStyle w:val="CommentText"/>
              <w:jc w:val="center"/>
              <w:rPr>
                <w:rFonts w:ascii="Garamond" w:hAnsi="Garamond"/>
                <w:color w:val="0D0D0D" w:themeColor="text1" w:themeTint="F2"/>
                <w:sz w:val="24"/>
                <w:szCs w:val="24"/>
              </w:rPr>
            </w:pPr>
            <w:r w:rsidRPr="00FD3232">
              <w:rPr>
                <w:rFonts w:ascii="Garamond" w:hAnsi="Garamond"/>
                <w:color w:val="0D0D0D" w:themeColor="text1" w:themeTint="F2"/>
                <w:sz w:val="24"/>
                <w:szCs w:val="24"/>
              </w:rPr>
              <w:t>25%</w:t>
            </w:r>
          </w:p>
        </w:tc>
        <w:tc>
          <w:tcPr>
            <w:tcW w:w="2275" w:type="dxa"/>
            <w:tcBorders>
              <w:top w:val="single" w:sz="4" w:space="0" w:color="auto"/>
              <w:bottom w:val="single" w:sz="4" w:space="0" w:color="auto"/>
            </w:tcBorders>
            <w:shd w:val="clear" w:color="auto" w:fill="auto"/>
          </w:tcPr>
          <w:p w14:paraId="6921D7A7" w14:textId="77777777" w:rsidR="005E1085" w:rsidRPr="00FD3232" w:rsidRDefault="005E1085" w:rsidP="006446AC">
            <w:pPr>
              <w:pStyle w:val="CommentText"/>
              <w:jc w:val="center"/>
              <w:rPr>
                <w:rFonts w:ascii="Garamond" w:hAnsi="Garamond"/>
                <w:color w:val="0D0D0D" w:themeColor="text1" w:themeTint="F2"/>
                <w:sz w:val="24"/>
                <w:szCs w:val="24"/>
              </w:rPr>
            </w:pPr>
            <w:r w:rsidRPr="00FD3232">
              <w:rPr>
                <w:rFonts w:ascii="Garamond" w:hAnsi="Garamond"/>
                <w:sz w:val="24"/>
                <w:szCs w:val="24"/>
              </w:rPr>
              <w:t>4, 5, 6 &amp; 7</w:t>
            </w:r>
          </w:p>
        </w:tc>
      </w:tr>
    </w:tbl>
    <w:p w14:paraId="76D3C97B" w14:textId="77777777" w:rsidR="00B44430" w:rsidRPr="009014B2" w:rsidRDefault="00B44430" w:rsidP="00B44430">
      <w:pPr>
        <w:pStyle w:val="CommentText"/>
        <w:rPr>
          <w:color w:val="0D0D0D" w:themeColor="text1" w:themeTint="F2"/>
          <w:sz w:val="24"/>
          <w:szCs w:val="24"/>
        </w:rPr>
      </w:pPr>
    </w:p>
    <w:p w14:paraId="68514AF2" w14:textId="77777777" w:rsidR="008C1F16" w:rsidRPr="00EE7725" w:rsidRDefault="008C1F16" w:rsidP="008C1F16">
      <w:pPr>
        <w:pStyle w:val="BodyTextIndent"/>
        <w:ind w:left="0"/>
        <w:rPr>
          <w:rFonts w:cs="Garamond"/>
          <w:b/>
          <w:color w:val="000000"/>
        </w:rPr>
      </w:pPr>
      <w:r w:rsidRPr="004C3655">
        <w:rPr>
          <w:rFonts w:cs="Garamond"/>
          <w:b/>
          <w:color w:val="000000"/>
        </w:rPr>
        <w:t>Class Participation:</w:t>
      </w:r>
    </w:p>
    <w:p w14:paraId="11B51CAE" w14:textId="55F7C5A1" w:rsidR="008C1F16" w:rsidRPr="00215B49" w:rsidRDefault="008C1F16" w:rsidP="008C1F16">
      <w:pPr>
        <w:pStyle w:val="BodyTextIndent"/>
        <w:ind w:left="0"/>
        <w:rPr>
          <w:rFonts w:cs="Garamond"/>
          <w:color w:val="000000"/>
        </w:rPr>
      </w:pPr>
      <w:r>
        <w:rPr>
          <w:rFonts w:cs="Garamond"/>
          <w:color w:val="000000"/>
        </w:rPr>
        <w:t xml:space="preserve">There is no grade for participation in this course. Rather, attendance and participation are expectations grounded in the notion that each student will gain more by attending </w:t>
      </w:r>
      <w:r w:rsidR="00B45D87">
        <w:rPr>
          <w:rFonts w:cs="Garamond"/>
          <w:color w:val="000000"/>
        </w:rPr>
        <w:t>virtual class sessions</w:t>
      </w:r>
      <w:r>
        <w:rPr>
          <w:rFonts w:cs="Garamond"/>
          <w:color w:val="000000"/>
        </w:rPr>
        <w:t xml:space="preserve"> and engaging in discussion with others who bring diverse perspectives and experience to a given course topic than </w:t>
      </w:r>
      <w:r w:rsidR="00B45D87">
        <w:rPr>
          <w:rFonts w:cs="Garamond"/>
          <w:color w:val="000000"/>
        </w:rPr>
        <w:t>they</w:t>
      </w:r>
      <w:r>
        <w:rPr>
          <w:rFonts w:cs="Garamond"/>
          <w:color w:val="000000"/>
        </w:rPr>
        <w:t xml:space="preserve"> could gain by simply doing the readings a</w:t>
      </w:r>
      <w:r w:rsidR="00A862BF">
        <w:rPr>
          <w:rFonts w:cs="Garamond"/>
          <w:color w:val="000000"/>
        </w:rPr>
        <w:t>nd completing the assignments. In-person c</w:t>
      </w:r>
      <w:r>
        <w:rPr>
          <w:rFonts w:cs="Garamond"/>
          <w:color w:val="000000"/>
        </w:rPr>
        <w:t xml:space="preserve">lass </w:t>
      </w:r>
      <w:r w:rsidR="00B45D87">
        <w:rPr>
          <w:rFonts w:cs="Garamond"/>
          <w:color w:val="000000"/>
        </w:rPr>
        <w:t xml:space="preserve">meetings and online interactions </w:t>
      </w:r>
      <w:r>
        <w:rPr>
          <w:rFonts w:cs="Garamond"/>
          <w:color w:val="000000"/>
        </w:rPr>
        <w:t xml:space="preserve">will include discussion and activities, intended to enhance individual student learning and make for a more productive learning environmental for all students. </w:t>
      </w:r>
      <w:r w:rsidRPr="006B4DC6">
        <w:t xml:space="preserve">Additionally, students will be expected to </w:t>
      </w:r>
      <w:r>
        <w:t>peruse</w:t>
      </w:r>
      <w:r w:rsidRPr="006B4DC6">
        <w:t xml:space="preserve"> </w:t>
      </w:r>
      <w:r>
        <w:t xml:space="preserve">weekly </w:t>
      </w:r>
      <w:r w:rsidRPr="006B4DC6">
        <w:t>newspaper</w:t>
      </w:r>
      <w:r>
        <w:t xml:space="preserve">s/websites/blogs </w:t>
      </w:r>
      <w:r>
        <w:lastRenderedPageBreak/>
        <w:t xml:space="preserve">weekly in search of pertinent environmental news topics, and </w:t>
      </w:r>
      <w:r w:rsidRPr="00076E0D">
        <w:rPr>
          <w:u w:val="single"/>
        </w:rPr>
        <w:t>e</w:t>
      </w:r>
      <w:r w:rsidRPr="00076E0D">
        <w:rPr>
          <w:rFonts w:cs="Garamond"/>
          <w:color w:val="000000"/>
          <w:u w:val="single"/>
        </w:rPr>
        <w:t>ach student will be responsible for presenting one piece of environmental news during the course of the semester.</w:t>
      </w:r>
      <w:r w:rsidRPr="00215B49">
        <w:rPr>
          <w:rFonts w:cs="Garamond"/>
          <w:color w:val="000000"/>
        </w:rPr>
        <w:t xml:space="preserve"> </w:t>
      </w:r>
      <w:r w:rsidR="00076E0D">
        <w:rPr>
          <w:rFonts w:cs="Garamond"/>
          <w:color w:val="000000"/>
        </w:rPr>
        <w:t xml:space="preserve">These will not be formal presentations, but rather a casual sharing of information. </w:t>
      </w:r>
      <w:r w:rsidRPr="00215B49">
        <w:rPr>
          <w:rFonts w:cs="Garamond"/>
          <w:color w:val="000000"/>
        </w:rPr>
        <w:t xml:space="preserve">News items should be posted to Canvas so that other students may view and comment on them. </w:t>
      </w:r>
      <w:r w:rsidR="00076E0D">
        <w:rPr>
          <w:rFonts w:cs="Garamond"/>
          <w:color w:val="000000"/>
        </w:rPr>
        <w:t xml:space="preserve"> </w:t>
      </w:r>
    </w:p>
    <w:p w14:paraId="6C19EEDD" w14:textId="2B383E8C" w:rsidR="008C1F16" w:rsidRDefault="008C1F16" w:rsidP="008C1F16">
      <w:pPr>
        <w:pStyle w:val="BodyTextIndent"/>
        <w:ind w:left="0"/>
        <w:rPr>
          <w:rFonts w:cs="Garamond"/>
          <w:color w:val="000000"/>
        </w:rPr>
      </w:pPr>
      <w:r>
        <w:rPr>
          <w:rFonts w:cs="Garamond"/>
          <w:color w:val="000000"/>
        </w:rPr>
        <w:t xml:space="preserve">To the extent feasible, students should notify the instructor ahead of time if they will be unable to participate in a given class meeting. </w:t>
      </w:r>
      <w:r w:rsidRPr="009B0C67">
        <w:rPr>
          <w:rFonts w:cs="Garamond"/>
          <w:color w:val="000000"/>
          <w:u w:val="single"/>
        </w:rPr>
        <w:t xml:space="preserve">In particular, students should make a concerted effort to attend class when a guest lecture is scheduled. </w:t>
      </w:r>
      <w:r w:rsidR="00B45D87" w:rsidRPr="009B0C67">
        <w:rPr>
          <w:rFonts w:cs="Garamond"/>
          <w:color w:val="000000"/>
          <w:u w:val="single"/>
        </w:rPr>
        <w:t>Our guests</w:t>
      </w:r>
      <w:r w:rsidRPr="009B0C67">
        <w:rPr>
          <w:rFonts w:cs="Garamond"/>
          <w:color w:val="000000"/>
          <w:u w:val="single"/>
        </w:rPr>
        <w:t xml:space="preserve"> are busy professionals who are taking time out of their schedules to share their knowledge with you, and their time and effort should be respected.</w:t>
      </w:r>
    </w:p>
    <w:p w14:paraId="4B22C951" w14:textId="77777777" w:rsidR="005E1085" w:rsidRDefault="005E1085" w:rsidP="005E1085">
      <w:pPr>
        <w:pStyle w:val="BodyTextIndent"/>
        <w:ind w:left="0"/>
        <w:rPr>
          <w:rFonts w:cs="Garamond"/>
          <w:b/>
          <w:color w:val="000000"/>
        </w:rPr>
      </w:pPr>
      <w:r>
        <w:rPr>
          <w:rFonts w:cs="Garamond"/>
          <w:b/>
          <w:color w:val="000000"/>
        </w:rPr>
        <w:t>Readings Responses:</w:t>
      </w:r>
    </w:p>
    <w:p w14:paraId="1091F4EF" w14:textId="77777777" w:rsidR="005E1085" w:rsidRDefault="005E1085" w:rsidP="005E1085">
      <w:pPr>
        <w:pStyle w:val="BodyTextIndent"/>
        <w:ind w:left="0"/>
      </w:pPr>
      <w:r>
        <w:rPr>
          <w:rFonts w:cs="Garamond"/>
          <w:color w:val="000000"/>
        </w:rPr>
        <w:t xml:space="preserve">Students will also be held accountable for their ability to engage knowledgeably and thoughtfully around assigned readings. </w:t>
      </w:r>
      <w:r w:rsidRPr="006B4DC6">
        <w:t>Specific readings will be ident</w:t>
      </w:r>
      <w:r>
        <w:t xml:space="preserve">ified on a week-by week basis. </w:t>
      </w:r>
      <w:r w:rsidRPr="006B4DC6">
        <w:t>Readings should be completed by the class date where they ar</w:t>
      </w:r>
      <w:r>
        <w:t>e listed. Readings</w:t>
      </w:r>
      <w:r w:rsidRPr="006B4DC6">
        <w:t xml:space="preserve"> will be </w:t>
      </w:r>
      <w:r>
        <w:t>included in the textbook and in the Course Reader. Resources also may be may also be made available in class or via Canvas, where</w:t>
      </w:r>
      <w:r w:rsidRPr="006B4DC6">
        <w:t xml:space="preserve"> students are </w:t>
      </w:r>
      <w:r>
        <w:t>encouraged</w:t>
      </w:r>
      <w:r w:rsidRPr="006B4DC6">
        <w:t xml:space="preserve"> to share resources and insights with one another. </w:t>
      </w:r>
    </w:p>
    <w:p w14:paraId="4A6E2A66" w14:textId="5B62955E" w:rsidR="005E1085" w:rsidRPr="00E97098" w:rsidRDefault="005E1085" w:rsidP="005E1085">
      <w:pPr>
        <w:pStyle w:val="BodyTextIndent"/>
        <w:ind w:left="0"/>
      </w:pPr>
      <w:r w:rsidRPr="004B3B54">
        <w:rPr>
          <w:u w:val="single"/>
        </w:rPr>
        <w:t>For each reading</w:t>
      </w:r>
      <w:r>
        <w:rPr>
          <w:u w:val="single"/>
        </w:rPr>
        <w:t xml:space="preserve"> assigned on the course syllabus</w:t>
      </w:r>
      <w:r w:rsidRPr="004B3B54">
        <w:rPr>
          <w:u w:val="single"/>
        </w:rPr>
        <w:t xml:space="preserve">, students will prepare and submit a </w:t>
      </w:r>
      <w:r>
        <w:rPr>
          <w:u w:val="single"/>
        </w:rPr>
        <w:t>brief</w:t>
      </w:r>
      <w:r w:rsidRPr="004B3B54">
        <w:rPr>
          <w:u w:val="single"/>
        </w:rPr>
        <w:t xml:space="preserve"> response to a prompt posted on Canvas. </w:t>
      </w:r>
      <w:r>
        <w:rPr>
          <w:u w:val="single"/>
        </w:rPr>
        <w:t xml:space="preserve">Responses should be posted to Canvas by noon on </w:t>
      </w:r>
      <w:r w:rsidR="00A862BF">
        <w:rPr>
          <w:u w:val="single"/>
        </w:rPr>
        <w:t>Tuesdays</w:t>
      </w:r>
      <w:r>
        <w:rPr>
          <w:u w:val="single"/>
        </w:rPr>
        <w:t>.</w:t>
      </w:r>
    </w:p>
    <w:p w14:paraId="41B1A297" w14:textId="0AF3863D" w:rsidR="004E3F87" w:rsidRDefault="00B70EBF" w:rsidP="004E3F87">
      <w:pPr>
        <w:pStyle w:val="BodyTextIndent"/>
        <w:ind w:left="0"/>
        <w:rPr>
          <w:rFonts w:cs="Garamond"/>
          <w:b/>
          <w:color w:val="000000"/>
        </w:rPr>
      </w:pPr>
      <w:r>
        <w:rPr>
          <w:rFonts w:cs="Garamond"/>
          <w:b/>
          <w:color w:val="000000"/>
        </w:rPr>
        <w:t>Local Planning for Climate Change</w:t>
      </w:r>
      <w:r w:rsidR="004E3F87" w:rsidRPr="004C3655">
        <w:rPr>
          <w:rFonts w:cs="Garamond"/>
          <w:b/>
          <w:color w:val="000000"/>
        </w:rPr>
        <w:t>:</w:t>
      </w:r>
    </w:p>
    <w:p w14:paraId="14062F93" w14:textId="77777777" w:rsidR="00B70EBF" w:rsidRDefault="00B70EBF" w:rsidP="008C1F16">
      <w:pPr>
        <w:pStyle w:val="BodyTextIndent"/>
        <w:ind w:left="0"/>
      </w:pPr>
      <w:r>
        <w:t xml:space="preserve">For this assignment, students will research and document the approach one or more local or state agencies are taking to address climate change. You may document the overall approach one agency is implementing to address various aspects of climate change and resiliency, or the various approaches that a selection of different agencies are employing to address the same issue. </w:t>
      </w:r>
    </w:p>
    <w:p w14:paraId="39ED8235" w14:textId="4C5BCAA8" w:rsidR="008C1F16" w:rsidRPr="00C530D6" w:rsidRDefault="008C1F16" w:rsidP="008C1F16">
      <w:pPr>
        <w:pStyle w:val="BodyTextIndent"/>
        <w:ind w:left="0"/>
        <w:rPr>
          <w:rFonts w:cs="Arial"/>
          <w:b/>
          <w:color w:val="000000"/>
        </w:rPr>
      </w:pPr>
      <w:r w:rsidRPr="00C530D6">
        <w:rPr>
          <w:rFonts w:cs="Arial"/>
          <w:b/>
          <w:color w:val="000000"/>
        </w:rPr>
        <w:t>Current Topic Policy Brief:</w:t>
      </w:r>
    </w:p>
    <w:p w14:paraId="67A8F0B6" w14:textId="77777777" w:rsidR="008C1F16" w:rsidRPr="006E1924" w:rsidRDefault="008C1F16" w:rsidP="008C1F16">
      <w:pPr>
        <w:spacing w:after="120"/>
        <w:rPr>
          <w:rFonts w:ascii="Garamond" w:hAnsi="Garamond"/>
        </w:rPr>
      </w:pPr>
      <w:r w:rsidRPr="006E1924">
        <w:rPr>
          <w:rFonts w:ascii="Garamond" w:hAnsi="Garamond" w:cs="–bø«zÌ"/>
          <w:color w:val="000000"/>
        </w:rPr>
        <w:t xml:space="preserve">For this assignment, students will </w:t>
      </w:r>
      <w:r w:rsidRPr="006E1924">
        <w:rPr>
          <w:rFonts w:ascii="Garamond" w:hAnsi="Garamond"/>
        </w:rPr>
        <w:t>choose a public policy issue or problem with clear local, state, and/or national environmental implications, and prepare a policy brief that would convince decision makers to follow a specific strategy for addressing this threat to the environment. This could be a natural resource focused issue, such as forest management and conservation, or one that is more public health focused, such as air quality in low-income communities. Students will be provided with detailed guidance as to the purpose and suggested structure of this assignment.</w:t>
      </w:r>
    </w:p>
    <w:p w14:paraId="26794AED" w14:textId="77777777" w:rsidR="008C1F16" w:rsidRDefault="008C1F16" w:rsidP="008C1F16">
      <w:pPr>
        <w:pStyle w:val="BodyTextIndent"/>
        <w:ind w:left="0"/>
        <w:rPr>
          <w:rFonts w:cs="Garamond"/>
          <w:b/>
          <w:color w:val="000000"/>
        </w:rPr>
      </w:pPr>
      <w:r w:rsidRPr="004C3655">
        <w:rPr>
          <w:rFonts w:cs="Garamond"/>
          <w:b/>
          <w:color w:val="000000"/>
        </w:rPr>
        <w:t xml:space="preserve">CEQA Case </w:t>
      </w:r>
      <w:r>
        <w:rPr>
          <w:rFonts w:cs="Garamond"/>
          <w:b/>
          <w:color w:val="000000"/>
        </w:rPr>
        <w:t>Summary</w:t>
      </w:r>
      <w:r w:rsidRPr="004C3655">
        <w:rPr>
          <w:rFonts w:cs="Garamond"/>
          <w:b/>
          <w:color w:val="000000"/>
        </w:rPr>
        <w:t xml:space="preserve"> Assignment:</w:t>
      </w:r>
    </w:p>
    <w:p w14:paraId="163C35AD" w14:textId="77777777" w:rsidR="008C1F16" w:rsidRDefault="008C1F16" w:rsidP="008C1F16">
      <w:pPr>
        <w:pStyle w:val="BodyTextIndent"/>
        <w:ind w:left="0"/>
        <w:rPr>
          <w:rFonts w:cs="Garamond"/>
          <w:color w:val="000000"/>
        </w:rPr>
      </w:pPr>
      <w:r>
        <w:rPr>
          <w:rFonts w:cs="Garamond"/>
          <w:color w:val="000000"/>
        </w:rPr>
        <w:t>This assignment requires students to read, interpret, and summarize a court decision of importance within the context of environmental planning and compliance. This assignment is intended to provide students with an understanding of the evolution of environmental compliance as well as the significance of case law in the practice of environmental planning. Students will be provided with a list of cases to choose from, each of which is in some way precedent setting.</w:t>
      </w:r>
    </w:p>
    <w:p w14:paraId="06470F83" w14:textId="1B2629BF" w:rsidR="008C1F16" w:rsidRDefault="008C1F16" w:rsidP="008C1F16">
      <w:pPr>
        <w:pStyle w:val="BodyTextIndent"/>
        <w:ind w:left="0"/>
        <w:rPr>
          <w:rFonts w:cs="Garamond"/>
          <w:b/>
          <w:color w:val="000000"/>
        </w:rPr>
      </w:pPr>
      <w:r>
        <w:rPr>
          <w:rFonts w:cs="Garamond"/>
          <w:b/>
          <w:color w:val="000000"/>
        </w:rPr>
        <w:t>Environmental Assessment</w:t>
      </w:r>
      <w:r w:rsidRPr="00572E73">
        <w:rPr>
          <w:rFonts w:cs="Garamond"/>
          <w:b/>
          <w:color w:val="000000"/>
        </w:rPr>
        <w:t xml:space="preserve"> Assignment</w:t>
      </w:r>
      <w:r>
        <w:rPr>
          <w:rFonts w:cs="Garamond"/>
          <w:b/>
          <w:color w:val="000000"/>
        </w:rPr>
        <w:t xml:space="preserve"> (Engagement Unit Activity)</w:t>
      </w:r>
      <w:r w:rsidRPr="00572E73">
        <w:rPr>
          <w:rFonts w:cs="Garamond"/>
          <w:b/>
          <w:color w:val="000000"/>
        </w:rPr>
        <w:t xml:space="preserve">: </w:t>
      </w:r>
    </w:p>
    <w:p w14:paraId="27999E8E" w14:textId="3DA50657" w:rsidR="006E1924" w:rsidRDefault="008C1F16" w:rsidP="008C1F16">
      <w:pPr>
        <w:pStyle w:val="BodyTextIndent"/>
        <w:ind w:left="0"/>
        <w:rPr>
          <w:rFonts w:cs="Garamond"/>
          <w:color w:val="000000"/>
        </w:rPr>
      </w:pPr>
      <w:r w:rsidRPr="00572E73">
        <w:rPr>
          <w:rFonts w:cs="Garamond"/>
          <w:color w:val="000000"/>
        </w:rPr>
        <w:t xml:space="preserve">The </w:t>
      </w:r>
      <w:r>
        <w:rPr>
          <w:rFonts w:cs="Garamond"/>
          <w:color w:val="000000"/>
        </w:rPr>
        <w:t>Environmental Assessment</w:t>
      </w:r>
      <w:r w:rsidRPr="00572E73">
        <w:rPr>
          <w:rFonts w:cs="Garamond"/>
          <w:color w:val="000000"/>
        </w:rPr>
        <w:t xml:space="preserve"> </w:t>
      </w:r>
      <w:r w:rsidR="006E1924">
        <w:rPr>
          <w:rFonts w:cs="Garamond"/>
          <w:color w:val="000000"/>
        </w:rPr>
        <w:t>assignment</w:t>
      </w:r>
      <w:r w:rsidRPr="00572E73">
        <w:rPr>
          <w:rFonts w:cs="Garamond"/>
          <w:color w:val="000000"/>
        </w:rPr>
        <w:t xml:space="preserve"> </w:t>
      </w:r>
      <w:r>
        <w:rPr>
          <w:rFonts w:cs="Garamond"/>
          <w:color w:val="000000"/>
        </w:rPr>
        <w:t xml:space="preserve">entails investigating, documenting, and making a recommendation on </w:t>
      </w:r>
      <w:r w:rsidRPr="00572E73">
        <w:rPr>
          <w:rFonts w:cs="Garamond"/>
          <w:color w:val="000000"/>
        </w:rPr>
        <w:t>a Bay Area project</w:t>
      </w:r>
      <w:r>
        <w:rPr>
          <w:rFonts w:cs="Garamond"/>
          <w:color w:val="000000"/>
        </w:rPr>
        <w:t xml:space="preserve"> for which environmental documentation (i.e., an E</w:t>
      </w:r>
      <w:r w:rsidR="006E1924">
        <w:rPr>
          <w:rFonts w:cs="Garamond"/>
          <w:color w:val="000000"/>
        </w:rPr>
        <w:t xml:space="preserve">nvironmental </w:t>
      </w:r>
      <w:r>
        <w:rPr>
          <w:rFonts w:cs="Garamond"/>
          <w:color w:val="000000"/>
        </w:rPr>
        <w:t>I</w:t>
      </w:r>
      <w:r w:rsidR="006E1924">
        <w:rPr>
          <w:rFonts w:cs="Garamond"/>
          <w:color w:val="000000"/>
        </w:rPr>
        <w:t xml:space="preserve">mpact </w:t>
      </w:r>
      <w:r>
        <w:rPr>
          <w:rFonts w:cs="Garamond"/>
          <w:color w:val="000000"/>
        </w:rPr>
        <w:t>R</w:t>
      </w:r>
      <w:r w:rsidR="006E1924">
        <w:rPr>
          <w:rFonts w:cs="Garamond"/>
          <w:color w:val="000000"/>
        </w:rPr>
        <w:t>eport</w:t>
      </w:r>
      <w:r>
        <w:rPr>
          <w:rFonts w:cs="Garamond"/>
          <w:color w:val="000000"/>
        </w:rPr>
        <w:t xml:space="preserve"> and associated technical reports) has been completed. The project could be proposed with approval pending, approved pending construction, currently </w:t>
      </w:r>
      <w:r w:rsidRPr="00572E73">
        <w:rPr>
          <w:rFonts w:cs="Garamond"/>
          <w:color w:val="000000"/>
        </w:rPr>
        <w:t>under construction</w:t>
      </w:r>
      <w:r>
        <w:rPr>
          <w:rFonts w:cs="Garamond"/>
          <w:color w:val="000000"/>
        </w:rPr>
        <w:t xml:space="preserve">, or recently completed. Students </w:t>
      </w:r>
      <w:r w:rsidR="006E1924">
        <w:rPr>
          <w:rFonts w:cs="Garamond"/>
          <w:color w:val="000000"/>
        </w:rPr>
        <w:t xml:space="preserve">may choose from </w:t>
      </w:r>
      <w:r>
        <w:rPr>
          <w:rFonts w:cs="Garamond"/>
          <w:color w:val="000000"/>
        </w:rPr>
        <w:t xml:space="preserve">examples </w:t>
      </w:r>
      <w:r w:rsidR="006E1924">
        <w:rPr>
          <w:rFonts w:cs="Garamond"/>
          <w:color w:val="000000"/>
        </w:rPr>
        <w:t xml:space="preserve">to be provided </w:t>
      </w:r>
      <w:r>
        <w:rPr>
          <w:rFonts w:cs="Garamond"/>
          <w:color w:val="000000"/>
        </w:rPr>
        <w:t>of some major Bay Area development</w:t>
      </w:r>
      <w:r w:rsidR="006D47E2">
        <w:rPr>
          <w:rFonts w:cs="Garamond"/>
          <w:color w:val="000000"/>
        </w:rPr>
        <w:t>/in</w:t>
      </w:r>
      <w:r w:rsidR="006E1924">
        <w:rPr>
          <w:rFonts w:cs="Garamond"/>
          <w:color w:val="000000"/>
        </w:rPr>
        <w:t>frastructure</w:t>
      </w:r>
      <w:r>
        <w:rPr>
          <w:rFonts w:cs="Garamond"/>
          <w:color w:val="000000"/>
        </w:rPr>
        <w:t xml:space="preserve"> projects from which they may choose</w:t>
      </w:r>
      <w:r w:rsidR="006E1924">
        <w:rPr>
          <w:rFonts w:cs="Garamond"/>
          <w:color w:val="000000"/>
        </w:rPr>
        <w:t>, or</w:t>
      </w:r>
      <w:r>
        <w:rPr>
          <w:rFonts w:cs="Garamond"/>
          <w:color w:val="000000"/>
        </w:rPr>
        <w:t xml:space="preserve"> also choose a different project of interest. Students will visit and document the project site (as feasible)</w:t>
      </w:r>
      <w:r w:rsidR="006D47E2">
        <w:rPr>
          <w:rFonts w:cs="Garamond"/>
          <w:color w:val="000000"/>
        </w:rPr>
        <w:t>, research project history and</w:t>
      </w:r>
      <w:r>
        <w:rPr>
          <w:rFonts w:cs="Garamond"/>
          <w:color w:val="000000"/>
        </w:rPr>
        <w:t xml:space="preserve"> stakeholder concerns</w:t>
      </w:r>
      <w:r w:rsidR="006D47E2">
        <w:rPr>
          <w:rFonts w:cs="Garamond"/>
          <w:color w:val="000000"/>
        </w:rPr>
        <w:t xml:space="preserve">, and review and summarize environmental documentation completed for the project (e.g., CEQA/NEPA documents and supporting background studies) in order to analyze how stakeholder concerns regarding the project’s environmental effects identified during the planning and environmental review process have been addressed. </w:t>
      </w:r>
      <w:r w:rsidR="006E1924">
        <w:rPr>
          <w:rFonts w:cs="Garamond"/>
          <w:color w:val="000000"/>
        </w:rPr>
        <w:t>Student</w:t>
      </w:r>
      <w:r w:rsidR="006D47E2">
        <w:rPr>
          <w:rFonts w:cs="Garamond"/>
          <w:color w:val="000000"/>
        </w:rPr>
        <w:t>s</w:t>
      </w:r>
      <w:r w:rsidR="006E1924">
        <w:rPr>
          <w:rFonts w:cs="Garamond"/>
          <w:color w:val="000000"/>
        </w:rPr>
        <w:t xml:space="preserve"> will also demonstrate how the issues hi</w:t>
      </w:r>
      <w:r w:rsidR="006D47E2">
        <w:rPr>
          <w:rFonts w:cs="Garamond"/>
          <w:color w:val="000000"/>
        </w:rPr>
        <w:t xml:space="preserve">ghlighted by documented project </w:t>
      </w:r>
      <w:r w:rsidR="006E1924">
        <w:rPr>
          <w:rFonts w:cs="Garamond"/>
          <w:color w:val="000000"/>
        </w:rPr>
        <w:lastRenderedPageBreak/>
        <w:t xml:space="preserve">relate to larger concerns and issues within the local, regional, and state planning context. For example, if a key issue for a particular project is water supply, the difficulty of securing water sources for new development projects within the context of a statewide drought and associated water conservation requirements could be discussed. </w:t>
      </w:r>
    </w:p>
    <w:p w14:paraId="6F2AD015" w14:textId="1AC2F856" w:rsidR="008C1F16" w:rsidRDefault="006D47E2" w:rsidP="008C1F16">
      <w:pPr>
        <w:pStyle w:val="BodyTextIndent"/>
        <w:ind w:left="0"/>
        <w:rPr>
          <w:rFonts w:cs="Garamond"/>
          <w:color w:val="000000"/>
        </w:rPr>
      </w:pPr>
      <w:r>
        <w:rPr>
          <w:rFonts w:cs="Garamond"/>
          <w:color w:val="000000"/>
        </w:rPr>
        <w:t xml:space="preserve">Project information will be collected through online research, document review, and interviews city staff and/or members of the public. </w:t>
      </w:r>
      <w:r w:rsidR="006E1924">
        <w:rPr>
          <w:rFonts w:cs="Garamond"/>
          <w:color w:val="000000"/>
        </w:rPr>
        <w:t xml:space="preserve">Findings </w:t>
      </w:r>
      <w:r>
        <w:rPr>
          <w:rFonts w:cs="Garamond"/>
          <w:color w:val="000000"/>
        </w:rPr>
        <w:t xml:space="preserve">and </w:t>
      </w:r>
      <w:r w:rsidR="008C1F16">
        <w:rPr>
          <w:rFonts w:cs="Garamond"/>
          <w:color w:val="000000"/>
        </w:rPr>
        <w:t xml:space="preserve">recommendations </w:t>
      </w:r>
      <w:r w:rsidR="006E1924">
        <w:rPr>
          <w:rFonts w:cs="Garamond"/>
          <w:color w:val="000000"/>
        </w:rPr>
        <w:t xml:space="preserve">should be presented </w:t>
      </w:r>
      <w:r w:rsidR="008C1F16">
        <w:rPr>
          <w:rFonts w:cs="Garamond"/>
          <w:color w:val="000000"/>
        </w:rPr>
        <w:t>in the form of a staff report and online presentation. Students may team up for this assignment, or complete it on their own.</w:t>
      </w:r>
    </w:p>
    <w:p w14:paraId="2FF86BEE" w14:textId="06F6291B" w:rsidR="008C1F16" w:rsidRPr="00307F61" w:rsidRDefault="008C1F16" w:rsidP="006E1924">
      <w:pPr>
        <w:pStyle w:val="BodyTextIndent"/>
        <w:ind w:left="0"/>
        <w:rPr>
          <w:rFonts w:cs="Garamond"/>
          <w:color w:val="000000"/>
        </w:rPr>
      </w:pPr>
      <w:r w:rsidRPr="00307F61">
        <w:rPr>
          <w:rFonts w:cs="Garamond"/>
          <w:color w:val="000000"/>
        </w:rPr>
        <w:t>Additional direction and grading criteria for each of these assignments will be provided in class and on Canvas.</w:t>
      </w:r>
      <w:r w:rsidRPr="00307F61">
        <w:rPr>
          <w:color w:val="0D0D0D" w:themeColor="text1" w:themeTint="F2"/>
        </w:rPr>
        <w:t xml:space="preserve"> </w:t>
      </w:r>
    </w:p>
    <w:p w14:paraId="14B59C44" w14:textId="34B74E7F" w:rsidR="008B3FA0" w:rsidRPr="008C1F16" w:rsidRDefault="008B3FA0" w:rsidP="00B83B91">
      <w:pPr>
        <w:pStyle w:val="Heading3"/>
        <w:rPr>
          <w:rFonts w:ascii="Arial" w:hAnsi="Arial" w:cs="Arial"/>
          <w:sz w:val="24"/>
        </w:rPr>
      </w:pPr>
      <w:r w:rsidRPr="008C1F16">
        <w:rPr>
          <w:rFonts w:ascii="Arial" w:hAnsi="Arial" w:cs="Arial"/>
          <w:sz w:val="24"/>
        </w:rPr>
        <w:t>Final Examination or Evaluation</w:t>
      </w:r>
    </w:p>
    <w:p w14:paraId="2FF8BB4C" w14:textId="6DD0E021" w:rsidR="00FD3232" w:rsidRPr="00FD3232" w:rsidRDefault="00FD3232" w:rsidP="00FD3232">
      <w:pPr>
        <w:rPr>
          <w:rFonts w:ascii="Garamond" w:hAnsi="Garamond"/>
        </w:rPr>
      </w:pPr>
      <w:r w:rsidRPr="00FD3232">
        <w:rPr>
          <w:rFonts w:ascii="Garamond" w:hAnsi="Garamond"/>
        </w:rPr>
        <w:t>There is no final exam for this course. We will meet during the assigned final examination time, however, to hear student presentations on final projects (</w:t>
      </w:r>
      <w:r w:rsidRPr="00307F61">
        <w:rPr>
          <w:rFonts w:ascii="Garamond" w:hAnsi="Garamond"/>
        </w:rPr>
        <w:t>Environmental Assessment Assignment</w:t>
      </w:r>
      <w:r w:rsidRPr="00FD3232">
        <w:rPr>
          <w:rFonts w:ascii="Garamond" w:hAnsi="Garamond"/>
        </w:rPr>
        <w:t xml:space="preserve">). </w:t>
      </w:r>
      <w:r w:rsidRPr="004E3F87">
        <w:rPr>
          <w:rFonts w:ascii="Garamond" w:hAnsi="Garamond"/>
          <w:u w:val="single"/>
        </w:rPr>
        <w:t>Attendance at this meeting is mandatory</w:t>
      </w:r>
      <w:r w:rsidRPr="00FD3232">
        <w:rPr>
          <w:rFonts w:ascii="Garamond" w:hAnsi="Garamond"/>
        </w:rPr>
        <w:t>.</w:t>
      </w:r>
      <w:r w:rsidR="00076E0D">
        <w:rPr>
          <w:rFonts w:ascii="Garamond" w:hAnsi="Garamond"/>
        </w:rPr>
        <w:t xml:space="preserve"> See date in course schedule below.</w:t>
      </w:r>
    </w:p>
    <w:p w14:paraId="71315FEE" w14:textId="07C5CC04" w:rsidR="008B3FA0" w:rsidRPr="00310987" w:rsidRDefault="008B3FA0" w:rsidP="00B83B91">
      <w:pPr>
        <w:pStyle w:val="Heading2"/>
      </w:pPr>
      <w:r w:rsidRPr="004B67ED">
        <w:rPr>
          <w:rFonts w:ascii="Arial" w:hAnsi="Arial"/>
        </w:rPr>
        <w:t xml:space="preserve">Grading Information </w:t>
      </w:r>
    </w:p>
    <w:p w14:paraId="5C43C06D" w14:textId="27C44485" w:rsidR="00FD3232" w:rsidRDefault="00FD3232" w:rsidP="00B45D87">
      <w:pPr>
        <w:rPr>
          <w:rFonts w:ascii="Garamond" w:hAnsi="Garamond"/>
        </w:rPr>
      </w:pPr>
      <w:r w:rsidRPr="00FD3232">
        <w:rPr>
          <w:rFonts w:ascii="Garamond" w:hAnsi="Garamond"/>
        </w:rPr>
        <w:t>I will calculate the final letter grade for the course by weighting the grade for each assignment according to the percentages in the table above. To do this, I first convert the letter grade for each assignment to a number using a 4-point scale (A = 4.0, A- = 3.67, B+ = 3.33, B = 3, B- = 2.67, C+ = 2.33, C = 2.0, C- = 1.67, D = 1, and F = 0). I then use these numbers and the weights for each assignment to calculate a final, numerical grade for the course based on a 4-point scale. That number is converted back to a letter grade (A = 3.85+, A- = 3.50 – 2.84, B+ = 3.17 – 3.49, B = 2.85 – 3.16, B- = 2.50 – 2.84, C+ = 2.17 – 2.49, C = 1.85 – 2.16, C- = 1.50 – 1.84, D+ = 1.17 – 1.40, D = 0.85 – 1.16, F = 0 – 0.84).</w:t>
      </w:r>
    </w:p>
    <w:p w14:paraId="2F857CFB" w14:textId="77777777" w:rsidR="00B45D87" w:rsidRPr="00B45D87" w:rsidRDefault="00B45D87" w:rsidP="00B45D87">
      <w:pPr>
        <w:rPr>
          <w:rFonts w:ascii="Garamond" w:hAnsi="Garamond"/>
          <w:color w:val="0D0D0D" w:themeColor="text1" w:themeTint="F2"/>
        </w:rPr>
      </w:pPr>
    </w:p>
    <w:p w14:paraId="2E3A0AB6" w14:textId="77777777" w:rsidR="00FD3232" w:rsidRPr="00FD3232" w:rsidRDefault="00FD3232" w:rsidP="00FD3232">
      <w:pPr>
        <w:pStyle w:val="BodyText"/>
        <w:rPr>
          <w:rFonts w:ascii="Arial" w:hAnsi="Arial" w:cs="Arial"/>
          <w:b/>
        </w:rPr>
      </w:pPr>
      <w:r w:rsidRPr="00FD3232">
        <w:rPr>
          <w:rFonts w:ascii="Arial" w:hAnsi="Arial" w:cs="Arial"/>
          <w:b/>
        </w:rPr>
        <w:t xml:space="preserve">Assignment Submittal </w:t>
      </w:r>
    </w:p>
    <w:p w14:paraId="7883B504" w14:textId="48305E02" w:rsidR="00FD3232" w:rsidRPr="00FD3232" w:rsidRDefault="00FD3232" w:rsidP="00FD3232">
      <w:pPr>
        <w:pStyle w:val="BodyText"/>
        <w:rPr>
          <w:rFonts w:ascii="Garamond" w:hAnsi="Garamond"/>
        </w:rPr>
      </w:pPr>
      <w:r w:rsidRPr="00FD3232">
        <w:rPr>
          <w:rFonts w:ascii="Garamond" w:hAnsi="Garamond"/>
        </w:rPr>
        <w:t xml:space="preserve">Assignments should be posted to Canvas by 4pm on the date specified in the course outline below (unless otherwise specified due to shifts in course organization). Grades for late assignments will be deducted by 10% for each day they are late. </w:t>
      </w:r>
      <w:r w:rsidRPr="00DD5486">
        <w:rPr>
          <w:rFonts w:ascii="Garamond" w:hAnsi="Garamond"/>
          <w:b/>
        </w:rPr>
        <w:t xml:space="preserve">Unless specific arrangements are made with the instructor, late assignments will not be accepted beyond one week of their due date. No late assignments will be </w:t>
      </w:r>
      <w:r w:rsidR="00DD5486" w:rsidRPr="00DD5486">
        <w:rPr>
          <w:rFonts w:ascii="Garamond" w:hAnsi="Garamond"/>
          <w:b/>
        </w:rPr>
        <w:t>after the final class meeting.</w:t>
      </w:r>
    </w:p>
    <w:p w14:paraId="6FC4642B" w14:textId="77777777" w:rsidR="00FD3232" w:rsidRPr="00FD3232" w:rsidRDefault="00FD3232" w:rsidP="00FD3232">
      <w:pPr>
        <w:pStyle w:val="BodyText"/>
        <w:rPr>
          <w:rFonts w:ascii="Garamond" w:hAnsi="Garamond"/>
        </w:rPr>
      </w:pPr>
      <w:r w:rsidRPr="00FD3232">
        <w:rPr>
          <w:rFonts w:ascii="Garamond" w:hAnsi="Garamond"/>
        </w:rPr>
        <w:t>As noted below, additional handouts will be distributed throughout the quarter to provide a more detailed overview of each assignment and associated grading criteria.</w:t>
      </w:r>
    </w:p>
    <w:p w14:paraId="06DB54B0" w14:textId="1CD6706B" w:rsidR="002E0DEE" w:rsidRPr="00310987" w:rsidRDefault="002E0DEE" w:rsidP="00B83B91">
      <w:pPr>
        <w:pStyle w:val="Heading2"/>
      </w:pPr>
      <w:r w:rsidRPr="008B5387">
        <w:rPr>
          <w:rFonts w:ascii="Arial" w:hAnsi="Arial"/>
        </w:rPr>
        <w:t>Classroom Protocol</w:t>
      </w:r>
      <w:r w:rsidR="002B5122">
        <w:t xml:space="preserve"> </w:t>
      </w:r>
      <w:r w:rsidR="0087138D" w:rsidRPr="0087138D">
        <w:rPr>
          <w:rFonts w:ascii="Arial" w:hAnsi="Arial"/>
        </w:rPr>
        <w:t>(Including Zoom Etiquette)</w:t>
      </w:r>
      <w:r w:rsidR="0087138D">
        <w:t xml:space="preserve"> </w:t>
      </w:r>
    </w:p>
    <w:p w14:paraId="049AA977" w14:textId="23A495E3" w:rsidR="00BA203A" w:rsidRPr="00A862BF" w:rsidRDefault="006B26E3" w:rsidP="00A862BF">
      <w:pPr>
        <w:pStyle w:val="Heading2"/>
        <w:spacing w:before="120"/>
        <w:rPr>
          <w:rFonts w:ascii="Garamond" w:hAnsi="Garamond"/>
          <w:b w:val="0"/>
          <w:szCs w:val="24"/>
        </w:rPr>
      </w:pPr>
      <w:r>
        <w:rPr>
          <w:rFonts w:ascii="Garamond" w:hAnsi="Garamond"/>
          <w:b w:val="0"/>
          <w:szCs w:val="24"/>
        </w:rPr>
        <w:t xml:space="preserve">Class meetings will include lectures, guest presentations, and on occasion, group activities. Leaning opportunities will be optimized when everyone participates. Please use common sense and courtesy by arriving on time to class. Of course, things come </w:t>
      </w:r>
      <w:proofErr w:type="gramStart"/>
      <w:r>
        <w:rPr>
          <w:rFonts w:ascii="Garamond" w:hAnsi="Garamond"/>
          <w:b w:val="0"/>
          <w:szCs w:val="24"/>
        </w:rPr>
        <w:t>up,</w:t>
      </w:r>
      <w:proofErr w:type="gramEnd"/>
      <w:r>
        <w:rPr>
          <w:rFonts w:ascii="Garamond" w:hAnsi="Garamond"/>
          <w:b w:val="0"/>
          <w:szCs w:val="24"/>
        </w:rPr>
        <w:t xml:space="preserve"> so if you are unable to attend class, please let me know. On occasion, we may meet on Zoom rather than in person</w:t>
      </w:r>
      <w:r w:rsidR="00A862BF">
        <w:rPr>
          <w:rFonts w:ascii="Garamond" w:hAnsi="Garamond"/>
          <w:b w:val="0"/>
          <w:szCs w:val="24"/>
        </w:rPr>
        <w:t xml:space="preserve"> to accommodate guest lecturers</w:t>
      </w:r>
      <w:r>
        <w:rPr>
          <w:rFonts w:ascii="Garamond" w:hAnsi="Garamond"/>
          <w:b w:val="0"/>
          <w:szCs w:val="24"/>
        </w:rPr>
        <w:t>. When we meet virtually, please</w:t>
      </w:r>
      <w:r w:rsidRPr="0087138D">
        <w:rPr>
          <w:rFonts w:ascii="Garamond" w:hAnsi="Garamond"/>
        </w:rPr>
        <w:t xml:space="preserve"> </w:t>
      </w:r>
      <w:r w:rsidRPr="006B26E3">
        <w:rPr>
          <w:rFonts w:ascii="Garamond" w:hAnsi="Garamond"/>
          <w:b w:val="0"/>
        </w:rPr>
        <w:t>plan to join meetings with your camera on</w:t>
      </w:r>
      <w:r>
        <w:rPr>
          <w:rFonts w:ascii="Garamond" w:hAnsi="Garamond"/>
          <w:b w:val="0"/>
          <w:szCs w:val="24"/>
        </w:rPr>
        <w:t xml:space="preserve">, make an effort to limit background noise and interactions during meetings, and be open to the opportunities and challenges associated with operating in a virtual environment. When we meet on line, class sessions will be recorded. </w:t>
      </w:r>
      <w:r w:rsidR="00BA203A" w:rsidRPr="00A862BF">
        <w:rPr>
          <w:rFonts w:ascii="Garamond" w:hAnsi="Garamond"/>
          <w:b w:val="0"/>
        </w:rPr>
        <w:t>The recordings will only be shared with students enrolled in the class through Canvas. The recordings will be deleted at the end of the semester. If, however, you would prefer to remain anonymous during these recordings, then please contact me about possible accommodations (e.g., temporarily turning off identifying information from the Zoom session, including student name and picture, prior to recording).</w:t>
      </w:r>
      <w:r w:rsidR="00BA203A" w:rsidRPr="00A862BF">
        <w:rPr>
          <w:b w:val="0"/>
          <w:sz w:val="20"/>
          <w:szCs w:val="20"/>
        </w:rPr>
        <w:t xml:space="preserve"> </w:t>
      </w:r>
    </w:p>
    <w:p w14:paraId="0D41961D" w14:textId="2A4A5495" w:rsidR="00BA203A" w:rsidRDefault="007161C1" w:rsidP="007161C1">
      <w:pPr>
        <w:rPr>
          <w:rFonts w:ascii="Garamond" w:eastAsia="Times New Roman" w:hAnsi="Garamond"/>
          <w:lang w:eastAsia="en-US"/>
        </w:rPr>
      </w:pPr>
      <w:r w:rsidRPr="007161C1">
        <w:rPr>
          <w:rFonts w:ascii="Garamond" w:eastAsia="Times New Roman" w:hAnsi="Garamond"/>
          <w:lang w:eastAsia="en-US"/>
        </w:rPr>
        <w:t xml:space="preserve">Students are prohibited from recording class activities (including class lectures, office hours, advising sessions, etc.), distributing class recordings, or posting class recordings. Materials created </w:t>
      </w:r>
      <w:r>
        <w:rPr>
          <w:rFonts w:ascii="Garamond" w:eastAsia="Times New Roman" w:hAnsi="Garamond"/>
          <w:lang w:eastAsia="en-US"/>
        </w:rPr>
        <w:t xml:space="preserve">for this </w:t>
      </w:r>
      <w:r w:rsidRPr="007161C1">
        <w:rPr>
          <w:rFonts w:ascii="Garamond" w:eastAsia="Times New Roman" w:hAnsi="Garamond"/>
          <w:lang w:eastAsia="en-US"/>
        </w:rPr>
        <w:t xml:space="preserve">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w:t>
      </w:r>
      <w:r w:rsidRPr="007161C1">
        <w:rPr>
          <w:rFonts w:ascii="Garamond" w:eastAsia="Times New Roman" w:hAnsi="Garamond"/>
          <w:lang w:eastAsia="en-US"/>
        </w:rPr>
        <w:lastRenderedPageBreak/>
        <w:t>responsibility of students that require special accommodations or assistive technology due to a disability to notify the instructor.</w:t>
      </w:r>
    </w:p>
    <w:p w14:paraId="2D3E0338" w14:textId="77777777" w:rsidR="007161C1" w:rsidRDefault="007161C1" w:rsidP="0087138D">
      <w:pPr>
        <w:rPr>
          <w:rFonts w:ascii="Garamond" w:eastAsia="Times New Roman" w:hAnsi="Garamond"/>
          <w:lang w:eastAsia="en-US"/>
        </w:rPr>
      </w:pPr>
    </w:p>
    <w:p w14:paraId="2B2691FD" w14:textId="3565D638" w:rsidR="007161C1" w:rsidRDefault="007161C1" w:rsidP="0087138D">
      <w:pPr>
        <w:rPr>
          <w:rFonts w:ascii="Garamond" w:eastAsia="Times New Roman" w:hAnsi="Garamond"/>
          <w:lang w:eastAsia="en-US"/>
        </w:rPr>
      </w:pPr>
      <w:r>
        <w:rPr>
          <w:rFonts w:ascii="Garamond" w:eastAsia="Times New Roman" w:hAnsi="Garamond"/>
          <w:lang w:eastAsia="en-US"/>
        </w:rPr>
        <w:t>When participating in online meetings, please observe the following Zoom etiquette:</w:t>
      </w:r>
    </w:p>
    <w:p w14:paraId="1ED7EDA6" w14:textId="69748125" w:rsidR="007161C1" w:rsidRPr="007161C1" w:rsidRDefault="007161C1" w:rsidP="007161C1">
      <w:pPr>
        <w:pStyle w:val="ListParagraph"/>
        <w:numPr>
          <w:ilvl w:val="0"/>
          <w:numId w:val="46"/>
        </w:numPr>
        <w:rPr>
          <w:rFonts w:ascii="Garamond" w:eastAsia="Times New Roman" w:hAnsi="Garamond"/>
          <w:lang w:eastAsia="en-US"/>
        </w:rPr>
      </w:pPr>
      <w:r w:rsidRPr="007161C1">
        <w:rPr>
          <w:rFonts w:ascii="Garamond" w:eastAsia="Times New Roman" w:hAnsi="Garamond"/>
          <w:lang w:eastAsia="en-US"/>
        </w:rPr>
        <w:t xml:space="preserve">Mute Your Microphone: To help keep background noise to a minimum, make sure you mute your microphone when you are not speaking. </w:t>
      </w:r>
    </w:p>
    <w:p w14:paraId="034D01FE" w14:textId="3DEA2E41" w:rsidR="007161C1" w:rsidRPr="007161C1" w:rsidRDefault="007161C1" w:rsidP="007161C1">
      <w:pPr>
        <w:pStyle w:val="ListParagraph"/>
        <w:numPr>
          <w:ilvl w:val="0"/>
          <w:numId w:val="46"/>
        </w:numPr>
        <w:rPr>
          <w:rFonts w:ascii="Garamond" w:eastAsia="Times New Roman" w:hAnsi="Garamond"/>
          <w:lang w:eastAsia="en-US"/>
        </w:rPr>
      </w:pPr>
      <w:r w:rsidRPr="007161C1">
        <w:rPr>
          <w:rFonts w:ascii="Garamond" w:eastAsia="Times New Roman" w:hAnsi="Garamond"/>
          <w:lang w:eastAsia="en-US"/>
        </w:rPr>
        <w:t xml:space="preserve">Be Mindful of Background Noise and Distractions: Find a quiet place to “attend” class, to the greatest extent possible. </w:t>
      </w:r>
    </w:p>
    <w:p w14:paraId="349CE47D" w14:textId="3EA0EA37" w:rsidR="007161C1" w:rsidRPr="007161C1" w:rsidRDefault="007161C1" w:rsidP="007161C1">
      <w:pPr>
        <w:pStyle w:val="ListParagraph"/>
        <w:numPr>
          <w:ilvl w:val="0"/>
          <w:numId w:val="47"/>
        </w:numPr>
        <w:rPr>
          <w:rFonts w:ascii="Garamond" w:eastAsia="Times New Roman" w:hAnsi="Garamond"/>
          <w:lang w:eastAsia="en-US"/>
        </w:rPr>
      </w:pPr>
      <w:r w:rsidRPr="007161C1">
        <w:rPr>
          <w:rFonts w:ascii="Garamond" w:eastAsia="Times New Roman" w:hAnsi="Garamond"/>
          <w:lang w:eastAsia="en-US"/>
        </w:rPr>
        <w:t xml:space="preserve">Avoid video setups where people may be walking behind you, people talking/making noise, etc. </w:t>
      </w:r>
    </w:p>
    <w:p w14:paraId="61F4B32A" w14:textId="1F59E17E" w:rsidR="007161C1" w:rsidRPr="007161C1" w:rsidRDefault="007161C1" w:rsidP="007161C1">
      <w:pPr>
        <w:pStyle w:val="ListParagraph"/>
        <w:numPr>
          <w:ilvl w:val="0"/>
          <w:numId w:val="47"/>
        </w:numPr>
        <w:rPr>
          <w:rFonts w:ascii="Garamond" w:eastAsia="Times New Roman" w:hAnsi="Garamond"/>
          <w:lang w:eastAsia="en-US"/>
        </w:rPr>
      </w:pPr>
      <w:r w:rsidRPr="007161C1">
        <w:rPr>
          <w:rFonts w:ascii="Garamond" w:eastAsia="Times New Roman" w:hAnsi="Garamond"/>
          <w:lang w:eastAsia="en-US"/>
        </w:rPr>
        <w:t xml:space="preserve">Avoid activities that could create additional noise, such as shuffling papers, listening to music in the background, etc. </w:t>
      </w:r>
    </w:p>
    <w:p w14:paraId="139230A9" w14:textId="77777777" w:rsidR="007161C1" w:rsidRPr="007161C1" w:rsidRDefault="007161C1" w:rsidP="007161C1">
      <w:pPr>
        <w:pStyle w:val="ListParagraph"/>
        <w:numPr>
          <w:ilvl w:val="0"/>
          <w:numId w:val="48"/>
        </w:numPr>
        <w:rPr>
          <w:rFonts w:ascii="Garamond" w:eastAsia="Times New Roman" w:hAnsi="Garamond"/>
          <w:lang w:eastAsia="en-US"/>
        </w:rPr>
      </w:pPr>
      <w:r w:rsidRPr="007161C1">
        <w:rPr>
          <w:rFonts w:ascii="Garamond" w:eastAsia="Times New Roman" w:hAnsi="Garamond"/>
          <w:lang w:eastAsia="en-US"/>
        </w:rPr>
        <w:t xml:space="preserve">Position Your Camera Properly: Be sure your webcam is in a stable position and focused at eye level. </w:t>
      </w:r>
    </w:p>
    <w:p w14:paraId="639DB426" w14:textId="77777777" w:rsidR="007161C1" w:rsidRPr="007161C1" w:rsidRDefault="007161C1" w:rsidP="007161C1">
      <w:pPr>
        <w:pStyle w:val="ListParagraph"/>
        <w:numPr>
          <w:ilvl w:val="0"/>
          <w:numId w:val="48"/>
        </w:numPr>
        <w:rPr>
          <w:rFonts w:ascii="Garamond" w:eastAsia="Times New Roman" w:hAnsi="Garamond"/>
          <w:lang w:eastAsia="en-US"/>
        </w:rPr>
      </w:pPr>
      <w:r w:rsidRPr="007161C1">
        <w:rPr>
          <w:rFonts w:ascii="Garamond" w:eastAsia="Times New Roman" w:hAnsi="Garamond"/>
          <w:lang w:eastAsia="en-US"/>
        </w:rPr>
        <w:t xml:space="preserve">Limit Your Distractions/Avoid Multitasking: You can make it easier to focus on the meeting by turning off notifications, closing or minimizing running apps, and putting your smartphone away (unless you are using it to access Zoom). </w:t>
      </w:r>
    </w:p>
    <w:p w14:paraId="5F467687" w14:textId="3414F796" w:rsidR="007161C1" w:rsidRPr="007161C1" w:rsidRDefault="007161C1" w:rsidP="007161C1">
      <w:pPr>
        <w:pStyle w:val="ListParagraph"/>
        <w:numPr>
          <w:ilvl w:val="0"/>
          <w:numId w:val="48"/>
        </w:numPr>
        <w:rPr>
          <w:rFonts w:ascii="Garamond" w:eastAsia="Times New Roman" w:hAnsi="Garamond"/>
          <w:lang w:eastAsia="en-US"/>
        </w:rPr>
      </w:pPr>
      <w:r w:rsidRPr="007161C1">
        <w:rPr>
          <w:rFonts w:ascii="Garamond" w:eastAsia="Times New Roman" w:hAnsi="Garamond"/>
          <w:lang w:eastAsia="en-US"/>
        </w:rPr>
        <w:t>Use Appropriate Virtual Backgrounds: If using a virtual background, it should be appropriate and professional and should NOT suggest or include content that is objectively offensive or demeaning.</w:t>
      </w:r>
    </w:p>
    <w:p w14:paraId="313AB189" w14:textId="77777777" w:rsidR="007161C1" w:rsidRDefault="007161C1" w:rsidP="0087138D">
      <w:pPr>
        <w:rPr>
          <w:rFonts w:ascii="Garamond" w:eastAsia="Times New Roman" w:hAnsi="Garamond"/>
          <w:lang w:eastAsia="en-US"/>
        </w:rPr>
      </w:pPr>
    </w:p>
    <w:p w14:paraId="33B9A279" w14:textId="125CCF13" w:rsidR="007161C1" w:rsidRPr="007161C1" w:rsidRDefault="007161C1" w:rsidP="0087138D">
      <w:pPr>
        <w:rPr>
          <w:rFonts w:ascii="Garamond" w:eastAsia="Times New Roman" w:hAnsi="Garamond"/>
          <w:lang w:eastAsia="en-US"/>
        </w:rPr>
      </w:pPr>
      <w:r w:rsidRPr="007161C1">
        <w:rPr>
          <w:rFonts w:ascii="Garamond" w:eastAsia="Times New Roman" w:hAnsi="Garamond"/>
          <w:lang w:eastAsia="en-US"/>
        </w:rPr>
        <w:t>For technical support, please use the following contact:</w:t>
      </w:r>
    </w:p>
    <w:p w14:paraId="009B8F5B" w14:textId="236B10E8" w:rsidR="007161C1" w:rsidRPr="007161C1" w:rsidRDefault="007161C1" w:rsidP="0087138D">
      <w:pPr>
        <w:rPr>
          <w:rFonts w:ascii="Garamond" w:eastAsia="Times New Roman" w:hAnsi="Garamond"/>
          <w:lang w:eastAsia="en-US"/>
        </w:rPr>
      </w:pPr>
      <w:r w:rsidRPr="007161C1">
        <w:rPr>
          <w:rFonts w:ascii="Garamond" w:eastAsia="Times New Roman" w:hAnsi="Garamond"/>
          <w:lang w:eastAsia="en-US"/>
        </w:rPr>
        <w:t>Technical Support for Canvas Email: ecampus@sjsu.edu Phone: (408) 924-2337 https://www.sjsu.edu/ecampus/support/</w:t>
      </w:r>
    </w:p>
    <w:p w14:paraId="3F1A7D89" w14:textId="2812BD5A" w:rsidR="00444C92" w:rsidRPr="001F5F14" w:rsidRDefault="00444C92" w:rsidP="00B83B91">
      <w:pPr>
        <w:pStyle w:val="Heading2"/>
      </w:pPr>
      <w:r w:rsidRPr="008B5387">
        <w:rPr>
          <w:rFonts w:ascii="Arial" w:hAnsi="Arial"/>
        </w:rPr>
        <w:t>University Policies</w:t>
      </w:r>
      <w:r w:rsidR="008B3FA0">
        <w:t xml:space="preserve"> </w:t>
      </w:r>
    </w:p>
    <w:p w14:paraId="473E3A2A" w14:textId="495403DF" w:rsidR="00890676" w:rsidRPr="009139D7" w:rsidRDefault="00E70545" w:rsidP="00B83B91">
      <w:pPr>
        <w:rPr>
          <w:rFonts w:ascii="Garamond" w:hAnsi="Garamond"/>
          <w:i/>
        </w:rPr>
      </w:pPr>
      <w:r w:rsidRPr="009139D7">
        <w:rPr>
          <w:rFonts w:ascii="Garamond" w:hAnsi="Garamond"/>
          <w:lang w:eastAsia="en-US"/>
        </w:rPr>
        <w:t xml:space="preserve">Per </w:t>
      </w:r>
      <w:hyperlink r:id="rId11" w:history="1">
        <w:r w:rsidRPr="009139D7">
          <w:rPr>
            <w:rStyle w:val="Hyperlink"/>
            <w:rFonts w:ascii="Garamond" w:hAnsi="Garamond"/>
            <w:lang w:eastAsia="en-US"/>
          </w:rPr>
          <w:t>University Policy S16-9</w:t>
        </w:r>
      </w:hyperlink>
      <w:r w:rsidR="0001502A" w:rsidRPr="009139D7">
        <w:rPr>
          <w:rFonts w:ascii="Garamond" w:hAnsi="Garamond"/>
          <w:lang w:eastAsia="en-US"/>
        </w:rPr>
        <w:t xml:space="preserve"> </w:t>
      </w:r>
      <w:r w:rsidR="0001502A" w:rsidRPr="009139D7">
        <w:rPr>
          <w:rFonts w:ascii="Garamond" w:hAnsi="Garamond"/>
          <w:i/>
        </w:rPr>
        <w:t>(http://www.sjsu.edu/senate/docs/S16-9.pdf)</w:t>
      </w:r>
      <w:r w:rsidRPr="009139D7">
        <w:rPr>
          <w:rFonts w:ascii="Garamond" w:hAnsi="Garamond"/>
          <w:lang w:eastAsia="en-US"/>
        </w:rPr>
        <w:t>,</w:t>
      </w:r>
      <w:r w:rsidR="0001502A" w:rsidRPr="009139D7">
        <w:rPr>
          <w:rFonts w:ascii="Garamond" w:hAnsi="Garamond"/>
        </w:rPr>
        <w:t xml:space="preserve"> </w:t>
      </w:r>
      <w:r w:rsidRPr="009139D7">
        <w:rPr>
          <w:rFonts w:ascii="Garamond" w:hAnsi="Garamond"/>
        </w:rPr>
        <w:t xml:space="preserve">relevant </w:t>
      </w:r>
      <w:r w:rsidR="00AF1E3A" w:rsidRPr="009139D7">
        <w:rPr>
          <w:rFonts w:ascii="Garamond" w:hAnsi="Garamond"/>
        </w:rPr>
        <w:t>university policy concerning</w:t>
      </w:r>
      <w:r w:rsidR="0001502A" w:rsidRPr="009139D7">
        <w:rPr>
          <w:rFonts w:ascii="Garamond" w:hAnsi="Garamond"/>
        </w:rPr>
        <w:t xml:space="preserve"> </w:t>
      </w:r>
      <w:r w:rsidRPr="009139D7">
        <w:rPr>
          <w:rFonts w:ascii="Garamond" w:hAnsi="Garamond"/>
        </w:rPr>
        <w:t xml:space="preserve">all courses, such as </w:t>
      </w:r>
      <w:r w:rsidR="00E22697" w:rsidRPr="009139D7">
        <w:rPr>
          <w:rFonts w:ascii="Garamond" w:hAnsi="Garamond"/>
        </w:rPr>
        <w:t xml:space="preserve">student responsibilities, </w:t>
      </w:r>
      <w:r w:rsidRPr="009139D7">
        <w:rPr>
          <w:rFonts w:ascii="Garamond" w:hAnsi="Garamond"/>
        </w:rPr>
        <w:t xml:space="preserve">academic integrity, accommodations, </w:t>
      </w:r>
      <w:r w:rsidR="009174A8" w:rsidRPr="009139D7">
        <w:rPr>
          <w:rFonts w:ascii="Garamond" w:hAnsi="Garamond"/>
        </w:rPr>
        <w:t xml:space="preserve">dropping and adding, consent for recording of class, </w:t>
      </w:r>
      <w:r w:rsidRPr="009139D7">
        <w:rPr>
          <w:rFonts w:ascii="Garamond" w:hAnsi="Garamond"/>
        </w:rPr>
        <w:t xml:space="preserve">etc. </w:t>
      </w:r>
      <w:r w:rsidR="00AF1E3A" w:rsidRPr="009139D7">
        <w:rPr>
          <w:rFonts w:ascii="Garamond" w:hAnsi="Garamond"/>
        </w:rPr>
        <w:t xml:space="preserve">and </w:t>
      </w:r>
      <w:r w:rsidRPr="009139D7">
        <w:rPr>
          <w:rFonts w:ascii="Garamond" w:hAnsi="Garamond"/>
        </w:rPr>
        <w:t xml:space="preserve">available </w:t>
      </w:r>
      <w:r w:rsidR="00AF1E3A" w:rsidRPr="009139D7">
        <w:rPr>
          <w:rFonts w:ascii="Garamond" w:hAnsi="Garamond"/>
        </w:rPr>
        <w:t xml:space="preserve">student services (e.g. learning assistance, counseling, and other resources) are listed </w:t>
      </w:r>
      <w:r w:rsidRPr="009139D7">
        <w:rPr>
          <w:rFonts w:ascii="Garamond" w:hAnsi="Garamond"/>
        </w:rPr>
        <w:t xml:space="preserve">on </w:t>
      </w:r>
      <w:hyperlink r:id="rId12" w:history="1">
        <w:r w:rsidRPr="009139D7">
          <w:rPr>
            <w:rStyle w:val="Hyperlink"/>
            <w:rFonts w:ascii="Garamond" w:hAnsi="Garamond"/>
            <w:lang w:eastAsia="en-US"/>
          </w:rPr>
          <w:t>Syllabus Information</w:t>
        </w:r>
        <w:r w:rsidRPr="009139D7">
          <w:rPr>
            <w:rStyle w:val="Hyperlink"/>
            <w:rFonts w:ascii="Garamond" w:hAnsi="Garamond"/>
          </w:rPr>
          <w:t xml:space="preserve"> web page</w:t>
        </w:r>
      </w:hyperlink>
      <w:r w:rsidRPr="009139D7">
        <w:rPr>
          <w:rFonts w:ascii="Garamond" w:hAnsi="Garamond"/>
          <w:lang w:eastAsia="en-US"/>
        </w:rPr>
        <w:t xml:space="preserve"> </w:t>
      </w:r>
      <w:r w:rsidR="007C59D8" w:rsidRPr="009139D7">
        <w:rPr>
          <w:rFonts w:ascii="Garamond" w:hAnsi="Garamond"/>
          <w:lang w:eastAsia="en-US"/>
        </w:rPr>
        <w:t xml:space="preserve">(http://www.sjsu.edu/gup/syllabusinfo), </w:t>
      </w:r>
      <w:r w:rsidR="00AF1E3A" w:rsidRPr="009139D7">
        <w:rPr>
          <w:rFonts w:ascii="Garamond" w:hAnsi="Garamond"/>
          <w:lang w:eastAsia="en-US"/>
        </w:rPr>
        <w:t xml:space="preserve">which is </w:t>
      </w:r>
      <w:r w:rsidR="007C59D8" w:rsidRPr="009139D7">
        <w:rPr>
          <w:rFonts w:ascii="Garamond" w:hAnsi="Garamond"/>
          <w:lang w:eastAsia="en-US"/>
        </w:rPr>
        <w:t xml:space="preserve">hosted by </w:t>
      </w:r>
      <w:r w:rsidR="00E22697" w:rsidRPr="009139D7">
        <w:rPr>
          <w:rFonts w:ascii="Garamond" w:hAnsi="Garamond"/>
          <w:lang w:eastAsia="en-US"/>
        </w:rPr>
        <w:t xml:space="preserve">the </w:t>
      </w:r>
      <w:r w:rsidR="007C59D8" w:rsidRPr="009139D7">
        <w:rPr>
          <w:rFonts w:ascii="Garamond" w:hAnsi="Garamond"/>
          <w:lang w:eastAsia="en-US"/>
        </w:rPr>
        <w:t>Office of Undergraduate Education</w:t>
      </w:r>
      <w:r w:rsidR="0057466E" w:rsidRPr="009139D7">
        <w:rPr>
          <w:rFonts w:ascii="Garamond" w:hAnsi="Garamond"/>
        </w:rPr>
        <w:t>.</w:t>
      </w:r>
      <w:r w:rsidRPr="009139D7">
        <w:rPr>
          <w:rFonts w:ascii="Garamond" w:hAnsi="Garamond"/>
        </w:rPr>
        <w:t xml:space="preserve"> </w:t>
      </w:r>
      <w:r w:rsidR="00532CD7" w:rsidRPr="009139D7">
        <w:rPr>
          <w:rFonts w:ascii="Garamond" w:hAnsi="Garamond"/>
          <w:lang w:eastAsia="en-US"/>
        </w:rPr>
        <w:t xml:space="preserve">Make sure to </w:t>
      </w:r>
      <w:r w:rsidR="0057466E" w:rsidRPr="009139D7">
        <w:rPr>
          <w:rFonts w:ascii="Garamond" w:hAnsi="Garamond"/>
          <w:lang w:eastAsia="en-US"/>
        </w:rPr>
        <w:t>visit this page</w:t>
      </w:r>
      <w:r w:rsidR="008452FB" w:rsidRPr="009139D7">
        <w:rPr>
          <w:rFonts w:ascii="Garamond" w:hAnsi="Garamond"/>
          <w:lang w:eastAsia="en-US"/>
        </w:rPr>
        <w:t xml:space="preserve"> to</w:t>
      </w:r>
      <w:r w:rsidR="0057466E" w:rsidRPr="009139D7">
        <w:rPr>
          <w:rFonts w:ascii="Garamond" w:hAnsi="Garamond"/>
          <w:lang w:eastAsia="en-US"/>
        </w:rPr>
        <w:t xml:space="preserve"> </w:t>
      </w:r>
      <w:r w:rsidR="001046FF" w:rsidRPr="009139D7">
        <w:rPr>
          <w:rFonts w:ascii="Garamond" w:hAnsi="Garamond"/>
          <w:lang w:eastAsia="en-US"/>
        </w:rPr>
        <w:t>re</w:t>
      </w:r>
      <w:r w:rsidR="0057466E" w:rsidRPr="009139D7">
        <w:rPr>
          <w:rFonts w:ascii="Garamond" w:hAnsi="Garamond"/>
          <w:lang w:eastAsia="en-US"/>
        </w:rPr>
        <w:t xml:space="preserve">view and be </w:t>
      </w:r>
      <w:r w:rsidR="007C59D8" w:rsidRPr="009139D7">
        <w:rPr>
          <w:rFonts w:ascii="Garamond" w:hAnsi="Garamond"/>
          <w:lang w:eastAsia="en-US"/>
        </w:rPr>
        <w:t>aware of</w:t>
      </w:r>
      <w:r w:rsidR="00532CD7" w:rsidRPr="009139D7">
        <w:rPr>
          <w:rFonts w:ascii="Garamond" w:hAnsi="Garamond"/>
          <w:lang w:eastAsia="en-US"/>
        </w:rPr>
        <w:t xml:space="preserve"> th</w:t>
      </w:r>
      <w:r w:rsidRPr="009139D7">
        <w:rPr>
          <w:rFonts w:ascii="Garamond" w:hAnsi="Garamond"/>
          <w:lang w:eastAsia="en-US"/>
        </w:rPr>
        <w:t xml:space="preserve">ese </w:t>
      </w:r>
      <w:r w:rsidR="008B0431" w:rsidRPr="009139D7">
        <w:rPr>
          <w:rFonts w:ascii="Garamond" w:hAnsi="Garamond"/>
          <w:lang w:eastAsia="en-US"/>
        </w:rPr>
        <w:t xml:space="preserve">university </w:t>
      </w:r>
      <w:r w:rsidRPr="009139D7">
        <w:rPr>
          <w:rFonts w:ascii="Garamond" w:hAnsi="Garamond"/>
          <w:lang w:eastAsia="en-US"/>
        </w:rPr>
        <w:t>policies and resources.</w:t>
      </w:r>
    </w:p>
    <w:p w14:paraId="6B67E802" w14:textId="77777777" w:rsidR="00DE6B68" w:rsidRPr="00DE6B68" w:rsidRDefault="00DE6B68" w:rsidP="00DE6B68">
      <w:pPr>
        <w:pStyle w:val="Heading2"/>
        <w:rPr>
          <w:rFonts w:ascii="Arial" w:hAnsi="Arial"/>
          <w:color w:val="0D0D0D" w:themeColor="text1" w:themeTint="F2"/>
        </w:rPr>
      </w:pPr>
      <w:r w:rsidRPr="00DE6B68">
        <w:rPr>
          <w:rFonts w:ascii="Arial" w:hAnsi="Arial"/>
          <w:color w:val="0D0D0D" w:themeColor="text1" w:themeTint="F2"/>
        </w:rPr>
        <w:t>Plagiarism and Citing Sources Properly</w:t>
      </w:r>
    </w:p>
    <w:p w14:paraId="0C3C7C35" w14:textId="77777777" w:rsidR="00DE6B68" w:rsidRPr="00DE6B68" w:rsidRDefault="00DE6B68" w:rsidP="00DE6B68">
      <w:pPr>
        <w:pStyle w:val="BodyText"/>
        <w:rPr>
          <w:rFonts w:ascii="Garamond" w:hAnsi="Garamond"/>
          <w:color w:val="0D0D0D" w:themeColor="text1" w:themeTint="F2"/>
        </w:rPr>
      </w:pPr>
      <w:r w:rsidRPr="00DE6B68">
        <w:rPr>
          <w:rFonts w:ascii="Garamond" w:hAnsi="Garamond"/>
          <w:color w:val="0D0D0D" w:themeColor="text1" w:themeTint="F2"/>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w:t>
      </w:r>
    </w:p>
    <w:p w14:paraId="0775AAE4" w14:textId="77777777" w:rsidR="00DE6B68" w:rsidRPr="00DE6B68" w:rsidRDefault="00DE6B68" w:rsidP="00DE6B68">
      <w:pPr>
        <w:pStyle w:val="BlockText"/>
        <w:ind w:left="720"/>
        <w:rPr>
          <w:b/>
          <w:color w:val="0D0D0D" w:themeColor="text1" w:themeTint="F2"/>
        </w:rPr>
      </w:pPr>
      <w:r w:rsidRPr="00DE6B68">
        <w:rPr>
          <w:b/>
          <w:color w:val="0D0D0D" w:themeColor="text1" w:themeTint="F2"/>
        </w:rPr>
        <w:t>Plagiarism will lead to grade penalties and a record filed with the Office of Student Conduct and Ethical Development. In severe cases, students may also fail the course or even be expelled from the university.</w:t>
      </w:r>
    </w:p>
    <w:p w14:paraId="482991B1" w14:textId="77777777" w:rsidR="00DE6B68" w:rsidRPr="00DE6B68" w:rsidRDefault="00DE6B68" w:rsidP="00DE6B68">
      <w:pPr>
        <w:pStyle w:val="BlockText"/>
        <w:ind w:left="720"/>
        <w:rPr>
          <w:b/>
          <w:color w:val="0D0D0D" w:themeColor="text1" w:themeTint="F2"/>
        </w:rPr>
      </w:pPr>
      <w:r w:rsidRPr="00DE6B68">
        <w:rPr>
          <w:b/>
          <w:color w:val="0D0D0D" w:themeColor="text1" w:themeTint="F2"/>
        </w:rPr>
        <w:t xml:space="preserve">If you are unsure what constitutes plagiarism, it is your responsibility to make sure you clarify the issues </w:t>
      </w:r>
      <w:r w:rsidRPr="00DE6B68">
        <w:rPr>
          <w:b/>
          <w:color w:val="0D0D0D" w:themeColor="text1" w:themeTint="F2"/>
          <w:u w:val="single"/>
        </w:rPr>
        <w:t>before</w:t>
      </w:r>
      <w:r w:rsidRPr="00DE6B68">
        <w:rPr>
          <w:b/>
          <w:color w:val="0D0D0D" w:themeColor="text1" w:themeTint="F2"/>
        </w:rPr>
        <w:t xml:space="preserve"> you hand in draft or final work.</w:t>
      </w:r>
    </w:p>
    <w:p w14:paraId="7DC71B39" w14:textId="77777777" w:rsidR="00DE6B68" w:rsidRPr="00DE6B68" w:rsidRDefault="00DE6B68" w:rsidP="00DE6B68">
      <w:pPr>
        <w:pStyle w:val="BodyText"/>
        <w:rPr>
          <w:rFonts w:ascii="Garamond" w:hAnsi="Garamond"/>
          <w:color w:val="0D0D0D" w:themeColor="text1" w:themeTint="F2"/>
        </w:rPr>
      </w:pPr>
      <w:r w:rsidRPr="00DE6B68">
        <w:rPr>
          <w:rFonts w:ascii="Garamond" w:hAnsi="Garamond"/>
          <w:color w:val="0D0D0D" w:themeColor="text1" w:themeTint="F2"/>
        </w:rPr>
        <w:t>Learning when to cite a source and when not to is an art, not a science. However, here are some common examples of plagiarism that you should be careful to avoid:</w:t>
      </w:r>
    </w:p>
    <w:p w14:paraId="5A6C576F" w14:textId="77777777" w:rsidR="00DE6B68" w:rsidRPr="00DE6B68" w:rsidRDefault="00DE6B68" w:rsidP="00DE6B68">
      <w:pPr>
        <w:numPr>
          <w:ilvl w:val="0"/>
          <w:numId w:val="33"/>
        </w:numPr>
        <w:spacing w:after="160"/>
        <w:rPr>
          <w:rFonts w:ascii="Garamond" w:hAnsi="Garamond"/>
          <w:color w:val="0D0D0D" w:themeColor="text1" w:themeTint="F2"/>
        </w:rPr>
      </w:pPr>
      <w:r w:rsidRPr="00DE6B68">
        <w:rPr>
          <w:rFonts w:ascii="Garamond" w:hAnsi="Garamond"/>
          <w:color w:val="0D0D0D" w:themeColor="text1" w:themeTint="F2"/>
        </w:rPr>
        <w:t>Using a sentence (or even a part of a sentence) that someone else wrote without identifying the language as a quote by putting the text in quote marks and referencing the source.</w:t>
      </w:r>
    </w:p>
    <w:p w14:paraId="096335BD" w14:textId="77777777" w:rsidR="00DE6B68" w:rsidRPr="00DE6B68" w:rsidRDefault="00DE6B68" w:rsidP="00DE6B68">
      <w:pPr>
        <w:numPr>
          <w:ilvl w:val="0"/>
          <w:numId w:val="33"/>
        </w:numPr>
        <w:spacing w:after="160"/>
        <w:rPr>
          <w:rFonts w:ascii="Garamond" w:hAnsi="Garamond"/>
          <w:color w:val="0D0D0D" w:themeColor="text1" w:themeTint="F2"/>
        </w:rPr>
      </w:pPr>
      <w:r w:rsidRPr="00DE6B68">
        <w:rPr>
          <w:rFonts w:ascii="Garamond" w:hAnsi="Garamond"/>
          <w:color w:val="0D0D0D" w:themeColor="text1" w:themeTint="F2"/>
        </w:rPr>
        <w:t>Paraphrasing somebody else's theory or idea without referencing the source.</w:t>
      </w:r>
    </w:p>
    <w:p w14:paraId="3E11432A" w14:textId="77777777" w:rsidR="00DE6B68" w:rsidRPr="00DE6B68" w:rsidRDefault="00DE6B68" w:rsidP="00DE6B68">
      <w:pPr>
        <w:numPr>
          <w:ilvl w:val="0"/>
          <w:numId w:val="33"/>
        </w:numPr>
        <w:spacing w:after="160"/>
        <w:rPr>
          <w:rFonts w:ascii="Garamond" w:hAnsi="Garamond"/>
          <w:color w:val="0D0D0D" w:themeColor="text1" w:themeTint="F2"/>
        </w:rPr>
      </w:pPr>
      <w:r w:rsidRPr="00DE6B68">
        <w:rPr>
          <w:rFonts w:ascii="Garamond" w:hAnsi="Garamond"/>
          <w:color w:val="0D0D0D" w:themeColor="text1" w:themeTint="F2"/>
        </w:rPr>
        <w:t>Using a picture or table from a webpage or book without reference the source.</w:t>
      </w:r>
    </w:p>
    <w:p w14:paraId="374A823E" w14:textId="77777777" w:rsidR="00DE6B68" w:rsidRPr="00DE6B68" w:rsidRDefault="00DE6B68" w:rsidP="00DE6B68">
      <w:pPr>
        <w:numPr>
          <w:ilvl w:val="0"/>
          <w:numId w:val="33"/>
        </w:numPr>
        <w:spacing w:after="160"/>
        <w:rPr>
          <w:rFonts w:ascii="Garamond" w:hAnsi="Garamond"/>
          <w:color w:val="0D0D0D" w:themeColor="text1" w:themeTint="F2"/>
        </w:rPr>
      </w:pPr>
      <w:r w:rsidRPr="00DE6B68">
        <w:rPr>
          <w:rFonts w:ascii="Garamond" w:hAnsi="Garamond"/>
          <w:color w:val="0D0D0D" w:themeColor="text1" w:themeTint="F2"/>
        </w:rPr>
        <w:lastRenderedPageBreak/>
        <w:t>Using data some other person or organization has collected without referencing the source.</w:t>
      </w:r>
    </w:p>
    <w:p w14:paraId="40735226" w14:textId="77777777" w:rsidR="00DE6B68" w:rsidRPr="00DE6B68" w:rsidRDefault="00DE6B68" w:rsidP="00DE6B68">
      <w:pPr>
        <w:pStyle w:val="BodyText"/>
        <w:rPr>
          <w:rFonts w:ascii="Garamond" w:hAnsi="Garamond"/>
          <w:color w:val="0D0D0D" w:themeColor="text1" w:themeTint="F2"/>
        </w:rPr>
      </w:pPr>
      <w:r w:rsidRPr="00DE6B68">
        <w:rPr>
          <w:rFonts w:ascii="Garamond" w:hAnsi="Garamond"/>
          <w:color w:val="0D0D0D" w:themeColor="text1" w:themeTint="F2"/>
        </w:rPr>
        <w:t>The University of Indiana has developed a very helpful website with concrete examples about proper paraphrasing and quotation. See in particular the following pages:</w:t>
      </w:r>
    </w:p>
    <w:p w14:paraId="23235C8A" w14:textId="77777777" w:rsidR="00DE6B68" w:rsidRPr="00DE6B68" w:rsidRDefault="00DE6B68" w:rsidP="00DE6B68">
      <w:pPr>
        <w:pStyle w:val="BodyText"/>
        <w:numPr>
          <w:ilvl w:val="0"/>
          <w:numId w:val="34"/>
        </w:numPr>
        <w:spacing w:before="120"/>
        <w:rPr>
          <w:rFonts w:ascii="Garamond" w:hAnsi="Garamond"/>
          <w:color w:val="0D0D0D" w:themeColor="text1" w:themeTint="F2"/>
        </w:rPr>
      </w:pPr>
      <w:r w:rsidRPr="00DE6B68">
        <w:rPr>
          <w:rFonts w:ascii="Garamond" w:hAnsi="Garamond"/>
          <w:color w:val="0D0D0D" w:themeColor="text1" w:themeTint="F2"/>
        </w:rPr>
        <w:t xml:space="preserve">Overview of plagiarism at </w:t>
      </w:r>
      <w:hyperlink r:id="rId13" w:history="1">
        <w:r w:rsidRPr="00DE6B68">
          <w:rPr>
            <w:rStyle w:val="Hyperlink"/>
            <w:rFonts w:ascii="Garamond" w:hAnsi="Garamond"/>
            <w:color w:val="0D0D0D" w:themeColor="text1" w:themeTint="F2"/>
          </w:rPr>
          <w:t>www.indiana.edu/~istd/overview.html</w:t>
        </w:r>
      </w:hyperlink>
    </w:p>
    <w:p w14:paraId="1EA1E0B8" w14:textId="77777777" w:rsidR="00DE6B68" w:rsidRPr="00DE6B68" w:rsidRDefault="00DE6B68" w:rsidP="00DE6B68">
      <w:pPr>
        <w:pStyle w:val="BodyText"/>
        <w:numPr>
          <w:ilvl w:val="0"/>
          <w:numId w:val="34"/>
        </w:numPr>
        <w:spacing w:before="120"/>
        <w:rPr>
          <w:rFonts w:ascii="Garamond" w:hAnsi="Garamond"/>
          <w:color w:val="0D0D0D" w:themeColor="text1" w:themeTint="F2"/>
        </w:rPr>
      </w:pPr>
      <w:r w:rsidRPr="00DE6B68">
        <w:rPr>
          <w:rFonts w:ascii="Garamond" w:hAnsi="Garamond"/>
          <w:color w:val="0D0D0D" w:themeColor="text1" w:themeTint="F2"/>
        </w:rPr>
        <w:t xml:space="preserve">Examples of plagiarism at </w:t>
      </w:r>
      <w:hyperlink r:id="rId14" w:history="1">
        <w:r w:rsidRPr="00DE6B68">
          <w:rPr>
            <w:rStyle w:val="Hyperlink"/>
            <w:rFonts w:ascii="Garamond" w:hAnsi="Garamond"/>
            <w:color w:val="0D0D0D" w:themeColor="text1" w:themeTint="F2"/>
          </w:rPr>
          <w:t>www.indiana.edu/~istd/examples.html</w:t>
        </w:r>
      </w:hyperlink>
    </w:p>
    <w:p w14:paraId="4336AA5E" w14:textId="77777777" w:rsidR="00DE6B68" w:rsidRPr="00DE6B68" w:rsidRDefault="00DE6B68" w:rsidP="00DE6B68">
      <w:pPr>
        <w:pStyle w:val="BodyText"/>
        <w:numPr>
          <w:ilvl w:val="0"/>
          <w:numId w:val="34"/>
        </w:numPr>
        <w:spacing w:before="120"/>
        <w:jc w:val="both"/>
        <w:rPr>
          <w:rFonts w:ascii="Garamond" w:hAnsi="Garamond"/>
          <w:color w:val="0D0D0D" w:themeColor="text1" w:themeTint="F2"/>
        </w:rPr>
      </w:pPr>
      <w:r w:rsidRPr="00DE6B68">
        <w:rPr>
          <w:rFonts w:ascii="Garamond" w:hAnsi="Garamond"/>
          <w:color w:val="0D0D0D" w:themeColor="text1" w:themeTint="F2"/>
        </w:rPr>
        <w:t xml:space="preserve">Plagiarism quiz at </w:t>
      </w:r>
      <w:hyperlink r:id="rId15" w:history="1">
        <w:r w:rsidRPr="00DE6B68">
          <w:rPr>
            <w:rStyle w:val="Hyperlink"/>
            <w:rFonts w:ascii="Garamond" w:hAnsi="Garamond"/>
            <w:color w:val="0D0D0D" w:themeColor="text1" w:themeTint="F2"/>
          </w:rPr>
          <w:t>www.indiana.edu/~istd/test.html</w:t>
        </w:r>
      </w:hyperlink>
    </w:p>
    <w:p w14:paraId="2332A27B" w14:textId="77777777" w:rsidR="00DE6B68" w:rsidRPr="00DE6B68" w:rsidRDefault="00DE6B68" w:rsidP="00DE6B68">
      <w:pPr>
        <w:rPr>
          <w:rFonts w:ascii="Garamond" w:hAnsi="Garamond"/>
          <w:color w:val="0D0D0D" w:themeColor="text1" w:themeTint="F2"/>
        </w:rPr>
      </w:pPr>
      <w:r w:rsidRPr="00DE6B68">
        <w:rPr>
          <w:rFonts w:ascii="Garamond" w:hAnsi="Garamond"/>
          <w:color w:val="0D0D0D" w:themeColor="text1" w:themeTint="F2"/>
        </w:rPr>
        <w:t>If you still have questions, feel free to talk to me personally. There is nothing wrong with asking for help, whereas even unintentional plagiarism is a serious offense.</w:t>
      </w:r>
    </w:p>
    <w:p w14:paraId="6890035A" w14:textId="77777777" w:rsidR="00DE6B68" w:rsidRPr="00DE6B68" w:rsidRDefault="00DE6B68" w:rsidP="00DE6B68">
      <w:pPr>
        <w:pStyle w:val="Heading3"/>
        <w:rPr>
          <w:rFonts w:ascii="Arial" w:hAnsi="Arial" w:cs="Arial"/>
          <w:color w:val="0D0D0D" w:themeColor="text1" w:themeTint="F2"/>
          <w:sz w:val="24"/>
        </w:rPr>
      </w:pPr>
      <w:r w:rsidRPr="00DE6B68">
        <w:rPr>
          <w:rFonts w:ascii="Arial" w:hAnsi="Arial" w:cs="Arial"/>
          <w:color w:val="0D0D0D" w:themeColor="text1" w:themeTint="F2"/>
          <w:sz w:val="24"/>
        </w:rPr>
        <w:t>Citation style</w:t>
      </w:r>
    </w:p>
    <w:p w14:paraId="77DD7626" w14:textId="77777777" w:rsidR="00DE6B68" w:rsidRPr="00DE6B68" w:rsidRDefault="00DE6B68" w:rsidP="00DE6B68">
      <w:pPr>
        <w:rPr>
          <w:rFonts w:ascii="Garamond" w:hAnsi="Garamond"/>
        </w:rPr>
      </w:pPr>
      <w:r w:rsidRPr="00DE6B68">
        <w:rPr>
          <w:rFonts w:ascii="Garamond" w:hAnsi="Garamond"/>
        </w:rPr>
        <w:t>All instructors in the URBP department are encouraged to have students follow the citation formatting guidelines in Turabian’s A Manual for Writers of Research Papers. By using a consistent style across classes, we make it easier for students to learn and apply proper formatting. You may choose to require a different style if you prefer, though.</w:t>
      </w:r>
    </w:p>
    <w:p w14:paraId="060A8393" w14:textId="77777777" w:rsidR="00DE6B68" w:rsidRPr="00DE6B68" w:rsidRDefault="00DE6B68" w:rsidP="00DE6B68">
      <w:pPr>
        <w:rPr>
          <w:rFonts w:ascii="Garamond" w:hAnsi="Garamond"/>
        </w:rPr>
      </w:pPr>
      <w:r w:rsidRPr="00DE6B68">
        <w:rPr>
          <w:rFonts w:ascii="Garamond" w:hAnsi="Garamond"/>
        </w:rPr>
        <w:t>Whatever style you ask students to use, however, should be described in this section of the syllabus.</w:t>
      </w:r>
    </w:p>
    <w:p w14:paraId="62342488" w14:textId="77777777" w:rsidR="009139D7" w:rsidRDefault="00DE6B68" w:rsidP="009139D7">
      <w:pPr>
        <w:rPr>
          <w:rFonts w:ascii="Garamond" w:hAnsi="Garamond"/>
        </w:rPr>
      </w:pPr>
      <w:r w:rsidRPr="00DE6B68">
        <w:rPr>
          <w:rFonts w:ascii="Garamond" w:hAnsi="Garamond"/>
        </w:rPr>
        <w:t>If you choose to have students follow Turabian style, you can include the paragraph below, modifying it as explained in the next “comment.”</w:t>
      </w:r>
    </w:p>
    <w:p w14:paraId="5B9FA7D9" w14:textId="77777777" w:rsidR="009139D7" w:rsidRDefault="009139D7" w:rsidP="009139D7">
      <w:pPr>
        <w:rPr>
          <w:rFonts w:ascii="Garamond" w:hAnsi="Garamond"/>
        </w:rPr>
      </w:pPr>
    </w:p>
    <w:p w14:paraId="5A494E77" w14:textId="056A5731" w:rsidR="00DE6B68" w:rsidRPr="009139D7" w:rsidRDefault="00DE6B68" w:rsidP="009139D7">
      <w:pPr>
        <w:rPr>
          <w:rFonts w:ascii="Garamond" w:hAnsi="Garamond"/>
        </w:rPr>
      </w:pPr>
      <w:r w:rsidRPr="00DE6B68">
        <w:rPr>
          <w:rFonts w:ascii="Garamond" w:hAnsi="Garamond"/>
          <w:color w:val="0D0D0D" w:themeColor="text1" w:themeTint="F2"/>
        </w:rPr>
        <w:t xml:space="preserve">It is important to properly cite any references you use in your assignments. The Department of Urban and Regional Planning uses Kate Turabian’s </w:t>
      </w:r>
      <w:r w:rsidRPr="00DE6B68">
        <w:rPr>
          <w:rFonts w:ascii="Garamond" w:hAnsi="Garamond"/>
          <w:i/>
          <w:color w:val="0D0D0D" w:themeColor="text1" w:themeTint="F2"/>
        </w:rPr>
        <w:t>A Manual for Writers of Research Papers, Theses, and Dissertations</w:t>
      </w:r>
      <w:r w:rsidRPr="00DE6B68">
        <w:rPr>
          <w:rFonts w:ascii="Garamond" w:hAnsi="Garamond"/>
          <w:color w:val="0D0D0D" w:themeColor="text1" w:themeTint="F2"/>
        </w:rPr>
        <w:t xml:space="preserve">, 8th edition (University of Chicago Press, 2013, ISBN 780226816388). Copies are available in the SJSU King Library. Additionally, the book is relatively inexpensive, and you may wish to purchase a copy. Please note that Turabian’s book describes two systems for referencing materials: (1) “notes” (footnotes or endnotes), plus a corresponding bibliography, and (2) in-text parenthetical references, plus a corresponding reference list.  </w:t>
      </w:r>
      <w:r w:rsidRPr="00DE6B68">
        <w:rPr>
          <w:rFonts w:ascii="Garamond" w:hAnsi="Garamond"/>
        </w:rPr>
        <w:t>In this class, students can use either of these styles, as long as the chosen style is used consistently throughout a given document.</w:t>
      </w: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6109405D" w:rsidR="00444C92" w:rsidRPr="008B5387" w:rsidRDefault="00057EFF" w:rsidP="00B83B91">
      <w:pPr>
        <w:pStyle w:val="Heading1"/>
        <w:rPr>
          <w:rFonts w:ascii="Arial" w:hAnsi="Arial"/>
        </w:rPr>
      </w:pPr>
      <w:r>
        <w:rPr>
          <w:rFonts w:ascii="Arial" w:hAnsi="Arial"/>
        </w:rPr>
        <w:t>URBP 240, Environmental Planning</w:t>
      </w:r>
      <w:r w:rsidR="00444C92" w:rsidRPr="008B5387">
        <w:rPr>
          <w:rFonts w:ascii="Arial" w:hAnsi="Arial"/>
        </w:rPr>
        <w:t>, Course Schedule</w:t>
      </w:r>
    </w:p>
    <w:p w14:paraId="2DDB1755" w14:textId="70D485A9" w:rsidR="005B43D0" w:rsidRDefault="005B43D0" w:rsidP="00B83B91">
      <w:pPr>
        <w:pStyle w:val="Heading2"/>
      </w:pPr>
      <w:r w:rsidRPr="008B5387">
        <w:rPr>
          <w:rFonts w:ascii="Arial" w:hAnsi="Arial"/>
        </w:rPr>
        <w:t>Course Schedule</w:t>
      </w:r>
      <w:r w:rsidR="00B92CBA">
        <w:t xml:space="preserve"> </w:t>
      </w:r>
    </w:p>
    <w:p w14:paraId="037F049C" w14:textId="77777777" w:rsidR="00547D38" w:rsidRPr="00547D38" w:rsidRDefault="00547D38" w:rsidP="00547D38">
      <w:pPr>
        <w:rPr>
          <w:lang w:eastAsia="en-US"/>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1E0" w:firstRow="1" w:lastRow="1" w:firstColumn="1" w:lastColumn="1" w:noHBand="0" w:noVBand="0"/>
      </w:tblPr>
      <w:tblGrid>
        <w:gridCol w:w="828"/>
        <w:gridCol w:w="810"/>
        <w:gridCol w:w="2178"/>
        <w:gridCol w:w="4842"/>
        <w:gridCol w:w="1890"/>
      </w:tblGrid>
      <w:tr w:rsidR="009139D7" w:rsidRPr="000B54BF" w14:paraId="43484860" w14:textId="77777777" w:rsidTr="009139D7">
        <w:tc>
          <w:tcPr>
            <w:tcW w:w="828" w:type="dxa"/>
            <w:tcBorders>
              <w:top w:val="single" w:sz="12" w:space="0" w:color="000000"/>
              <w:left w:val="nil"/>
              <w:bottom w:val="single" w:sz="12" w:space="0" w:color="000000"/>
            </w:tcBorders>
            <w:shd w:val="solid" w:color="C0C0C0" w:fill="FFFFFF"/>
          </w:tcPr>
          <w:p w14:paraId="016FBC45" w14:textId="77777777" w:rsidR="009139D7" w:rsidRPr="000B54BF" w:rsidRDefault="009139D7" w:rsidP="009139D7">
            <w:pPr>
              <w:rPr>
                <w:b/>
              </w:rPr>
            </w:pPr>
            <w:r>
              <w:rPr>
                <w:b/>
              </w:rPr>
              <w:t>Week</w:t>
            </w:r>
          </w:p>
        </w:tc>
        <w:tc>
          <w:tcPr>
            <w:tcW w:w="810" w:type="dxa"/>
            <w:tcBorders>
              <w:top w:val="single" w:sz="12" w:space="0" w:color="000000"/>
              <w:left w:val="nil"/>
              <w:bottom w:val="single" w:sz="12" w:space="0" w:color="000000"/>
            </w:tcBorders>
            <w:shd w:val="solid" w:color="C0C0C0" w:fill="FFFFFF"/>
          </w:tcPr>
          <w:p w14:paraId="36964C94" w14:textId="77777777" w:rsidR="009139D7" w:rsidRPr="000B54BF" w:rsidRDefault="009139D7" w:rsidP="009139D7">
            <w:pPr>
              <w:rPr>
                <w:b/>
              </w:rPr>
            </w:pPr>
            <w:r w:rsidRPr="000B54BF">
              <w:rPr>
                <w:b/>
              </w:rPr>
              <w:t>Date</w:t>
            </w:r>
          </w:p>
        </w:tc>
        <w:tc>
          <w:tcPr>
            <w:tcW w:w="2178" w:type="dxa"/>
            <w:tcBorders>
              <w:top w:val="single" w:sz="12" w:space="0" w:color="000000"/>
              <w:bottom w:val="single" w:sz="12" w:space="0" w:color="000000"/>
            </w:tcBorders>
            <w:shd w:val="solid" w:color="C0C0C0" w:fill="FFFFFF"/>
          </w:tcPr>
          <w:p w14:paraId="3F04955F" w14:textId="77777777" w:rsidR="009139D7" w:rsidRPr="000B54BF" w:rsidRDefault="009139D7" w:rsidP="009139D7">
            <w:pPr>
              <w:rPr>
                <w:b/>
              </w:rPr>
            </w:pPr>
            <w:r w:rsidRPr="000B54BF">
              <w:rPr>
                <w:b/>
              </w:rPr>
              <w:t>Topic</w:t>
            </w:r>
          </w:p>
        </w:tc>
        <w:tc>
          <w:tcPr>
            <w:tcW w:w="4842" w:type="dxa"/>
            <w:tcBorders>
              <w:top w:val="single" w:sz="12" w:space="0" w:color="000000"/>
              <w:bottom w:val="single" w:sz="12" w:space="0" w:color="000000"/>
            </w:tcBorders>
            <w:shd w:val="solid" w:color="C0C0C0" w:fill="FFFFFF"/>
          </w:tcPr>
          <w:p w14:paraId="2DE32705" w14:textId="77777777" w:rsidR="009139D7" w:rsidRPr="000B54BF" w:rsidRDefault="009139D7" w:rsidP="009139D7">
            <w:pPr>
              <w:rPr>
                <w:b/>
              </w:rPr>
            </w:pPr>
            <w:r w:rsidRPr="000B54BF">
              <w:rPr>
                <w:b/>
              </w:rPr>
              <w:t>Reading</w:t>
            </w:r>
          </w:p>
        </w:tc>
        <w:tc>
          <w:tcPr>
            <w:tcW w:w="1890" w:type="dxa"/>
            <w:tcBorders>
              <w:top w:val="single" w:sz="12" w:space="0" w:color="000000"/>
              <w:bottom w:val="single" w:sz="12" w:space="0" w:color="000000"/>
              <w:right w:val="nil"/>
            </w:tcBorders>
            <w:shd w:val="solid" w:color="C0C0C0" w:fill="FFFFFF"/>
          </w:tcPr>
          <w:p w14:paraId="7E5CA58F" w14:textId="77777777" w:rsidR="009139D7" w:rsidRPr="000B54BF" w:rsidRDefault="009139D7" w:rsidP="009139D7">
            <w:pPr>
              <w:rPr>
                <w:b/>
              </w:rPr>
            </w:pPr>
            <w:r w:rsidRPr="000B54BF">
              <w:rPr>
                <w:b/>
              </w:rPr>
              <w:t xml:space="preserve">Assignments </w:t>
            </w:r>
            <w:r>
              <w:rPr>
                <w:b/>
              </w:rPr>
              <w:t>&amp; Activities</w:t>
            </w:r>
          </w:p>
        </w:tc>
      </w:tr>
      <w:tr w:rsidR="009139D7" w:rsidRPr="00B45D87" w14:paraId="5F374C15" w14:textId="77777777" w:rsidTr="00B45D87">
        <w:tc>
          <w:tcPr>
            <w:tcW w:w="828" w:type="dxa"/>
            <w:tcBorders>
              <w:left w:val="nil"/>
            </w:tcBorders>
          </w:tcPr>
          <w:p w14:paraId="470D543B" w14:textId="77777777" w:rsidR="009139D7" w:rsidRDefault="009139D7" w:rsidP="009139D7">
            <w:r>
              <w:t>1</w:t>
            </w:r>
          </w:p>
        </w:tc>
        <w:tc>
          <w:tcPr>
            <w:tcW w:w="810" w:type="dxa"/>
            <w:tcBorders>
              <w:left w:val="nil"/>
            </w:tcBorders>
            <w:shd w:val="clear" w:color="auto" w:fill="auto"/>
          </w:tcPr>
          <w:p w14:paraId="65652E9A" w14:textId="7580B5FF" w:rsidR="009139D7" w:rsidRPr="00B45D87" w:rsidRDefault="00554522" w:rsidP="009139D7">
            <w:pPr>
              <w:rPr>
                <w:rFonts w:ascii="Garamond" w:hAnsi="Garamond"/>
              </w:rPr>
            </w:pPr>
            <w:r>
              <w:rPr>
                <w:rFonts w:ascii="Garamond" w:hAnsi="Garamond"/>
              </w:rPr>
              <w:t>1/31</w:t>
            </w:r>
          </w:p>
        </w:tc>
        <w:tc>
          <w:tcPr>
            <w:tcW w:w="2178" w:type="dxa"/>
            <w:shd w:val="clear" w:color="auto" w:fill="auto"/>
          </w:tcPr>
          <w:p w14:paraId="75B9BB9C" w14:textId="77777777" w:rsidR="009139D7" w:rsidRPr="00B45D87" w:rsidRDefault="009139D7" w:rsidP="009139D7">
            <w:pPr>
              <w:rPr>
                <w:rFonts w:ascii="Garamond" w:hAnsi="Garamond"/>
              </w:rPr>
            </w:pPr>
            <w:r w:rsidRPr="00B45D87">
              <w:rPr>
                <w:rFonts w:ascii="Garamond" w:hAnsi="Garamond"/>
              </w:rPr>
              <w:t>Introduction: What is Environmental Planning?</w:t>
            </w:r>
          </w:p>
        </w:tc>
        <w:tc>
          <w:tcPr>
            <w:tcW w:w="4842" w:type="dxa"/>
            <w:shd w:val="clear" w:color="auto" w:fill="auto"/>
          </w:tcPr>
          <w:p w14:paraId="715F3E90" w14:textId="388889E6" w:rsidR="009139D7" w:rsidRPr="00B45D87" w:rsidRDefault="009139D7" w:rsidP="009139D7">
            <w:pPr>
              <w:ind w:left="20" w:hanging="10"/>
              <w:rPr>
                <w:rFonts w:ascii="Garamond" w:hAnsi="Garamond"/>
              </w:rPr>
            </w:pPr>
            <w:r w:rsidRPr="00B45D87">
              <w:rPr>
                <w:rFonts w:ascii="Garamond" w:hAnsi="Garamond"/>
              </w:rPr>
              <w:t>Daniels, “A Trail Across Time: American Environmental Planning from City Beautiful to Sustainability,” Journal of the Ameri</w:t>
            </w:r>
            <w:r w:rsidR="00D70596">
              <w:rPr>
                <w:rFonts w:ascii="Garamond" w:hAnsi="Garamond"/>
              </w:rPr>
              <w:t>can Planning Association</w:t>
            </w:r>
          </w:p>
          <w:p w14:paraId="61DF7806" w14:textId="77777777" w:rsidR="0010351D" w:rsidRDefault="0010351D" w:rsidP="009139D7">
            <w:pPr>
              <w:ind w:left="20" w:hanging="10"/>
              <w:rPr>
                <w:rFonts w:ascii="Garamond" w:hAnsi="Garamond"/>
              </w:rPr>
            </w:pPr>
          </w:p>
          <w:p w14:paraId="3CE4E754" w14:textId="77777777" w:rsidR="009139D7" w:rsidRDefault="0010351D" w:rsidP="009139D7">
            <w:pPr>
              <w:ind w:left="20" w:hanging="10"/>
              <w:rPr>
                <w:rFonts w:ascii="Garamond" w:hAnsi="Garamond"/>
              </w:rPr>
            </w:pPr>
            <w:r>
              <w:rPr>
                <w:rFonts w:ascii="Garamond" w:hAnsi="Garamond"/>
              </w:rPr>
              <w:t xml:space="preserve">Daniels, </w:t>
            </w:r>
            <w:r w:rsidRPr="00613E19">
              <w:rPr>
                <w:rFonts w:ascii="Garamond" w:hAnsi="Garamond"/>
                <w:i/>
              </w:rPr>
              <w:t>Environmental Planning Handbook</w:t>
            </w:r>
            <w:r>
              <w:rPr>
                <w:rFonts w:ascii="Garamond" w:hAnsi="Garamond"/>
              </w:rPr>
              <w:t>, Routledge: 2017,</w:t>
            </w:r>
            <w:r w:rsidR="009139D7" w:rsidRPr="00B45D87">
              <w:rPr>
                <w:rFonts w:ascii="Garamond" w:hAnsi="Garamond"/>
              </w:rPr>
              <w:t xml:space="preserve"> Chapter 1</w:t>
            </w:r>
          </w:p>
          <w:p w14:paraId="6DF013EB" w14:textId="583350E6" w:rsidR="00DE032A" w:rsidRPr="00B45D87" w:rsidRDefault="00DE032A" w:rsidP="009139D7">
            <w:pPr>
              <w:ind w:left="20" w:hanging="10"/>
              <w:rPr>
                <w:rFonts w:ascii="Garamond" w:hAnsi="Garamond"/>
              </w:rPr>
            </w:pPr>
          </w:p>
        </w:tc>
        <w:tc>
          <w:tcPr>
            <w:tcW w:w="1890" w:type="dxa"/>
            <w:tcBorders>
              <w:bottom w:val="single" w:sz="4" w:space="0" w:color="auto"/>
              <w:right w:val="nil"/>
            </w:tcBorders>
            <w:shd w:val="clear" w:color="auto" w:fill="auto"/>
          </w:tcPr>
          <w:p w14:paraId="2E51C10F" w14:textId="77777777" w:rsidR="00B144E8" w:rsidRPr="00B45D87" w:rsidRDefault="00B144E8" w:rsidP="00B144E8">
            <w:pPr>
              <w:rPr>
                <w:rFonts w:ascii="Garamond" w:hAnsi="Garamond"/>
                <w:i/>
              </w:rPr>
            </w:pPr>
            <w:r>
              <w:rPr>
                <w:rFonts w:ascii="Garamond" w:hAnsi="Garamond"/>
                <w:i/>
              </w:rPr>
              <w:t>Overview of</w:t>
            </w:r>
            <w:r w:rsidRPr="00B45D87">
              <w:rPr>
                <w:rFonts w:ascii="Garamond" w:hAnsi="Garamond"/>
                <w:i/>
              </w:rPr>
              <w:t xml:space="preserve"> </w:t>
            </w:r>
            <w:r>
              <w:rPr>
                <w:rFonts w:ascii="Garamond" w:hAnsi="Garamond"/>
                <w:i/>
              </w:rPr>
              <w:t>Assignments</w:t>
            </w:r>
          </w:p>
          <w:p w14:paraId="2E391715" w14:textId="26DC0931" w:rsidR="009139D7" w:rsidRPr="00B45D87" w:rsidRDefault="009139D7" w:rsidP="009139D7">
            <w:pPr>
              <w:rPr>
                <w:rFonts w:ascii="Garamond" w:hAnsi="Garamond"/>
              </w:rPr>
            </w:pPr>
          </w:p>
        </w:tc>
      </w:tr>
      <w:tr w:rsidR="00B45D87" w:rsidRPr="00B45D87" w14:paraId="12EEA188" w14:textId="77777777" w:rsidTr="00B45D87">
        <w:tc>
          <w:tcPr>
            <w:tcW w:w="10548" w:type="dxa"/>
            <w:gridSpan w:val="5"/>
            <w:tcBorders>
              <w:left w:val="nil"/>
              <w:bottom w:val="nil"/>
              <w:right w:val="nil"/>
            </w:tcBorders>
          </w:tcPr>
          <w:p w14:paraId="0341EB5B" w14:textId="51884EDB" w:rsidR="00B45D87" w:rsidRPr="008E5D8E" w:rsidRDefault="00B45D87" w:rsidP="00B45D87">
            <w:pPr>
              <w:rPr>
                <w:rFonts w:ascii="Garamond" w:hAnsi="Garamond"/>
                <w:b/>
              </w:rPr>
            </w:pPr>
            <w:r w:rsidRPr="008E5D8E">
              <w:rPr>
                <w:rFonts w:ascii="Garamond" w:hAnsi="Garamond"/>
                <w:b/>
              </w:rPr>
              <w:t>Planning for Environmental Considerations</w:t>
            </w:r>
          </w:p>
        </w:tc>
      </w:tr>
      <w:tr w:rsidR="00E90D2C" w:rsidRPr="00B45D87" w14:paraId="42844075" w14:textId="77777777" w:rsidTr="00B45D87">
        <w:tc>
          <w:tcPr>
            <w:tcW w:w="828" w:type="dxa"/>
            <w:tcBorders>
              <w:left w:val="nil"/>
            </w:tcBorders>
          </w:tcPr>
          <w:p w14:paraId="676E9818" w14:textId="77777777" w:rsidR="00E90D2C" w:rsidRDefault="00E90D2C" w:rsidP="009139D7">
            <w:r>
              <w:t>2</w:t>
            </w:r>
          </w:p>
        </w:tc>
        <w:tc>
          <w:tcPr>
            <w:tcW w:w="810" w:type="dxa"/>
            <w:tcBorders>
              <w:left w:val="nil"/>
            </w:tcBorders>
            <w:shd w:val="clear" w:color="auto" w:fill="auto"/>
          </w:tcPr>
          <w:p w14:paraId="18CDC217" w14:textId="496E2902" w:rsidR="00E90D2C" w:rsidRPr="00B45D87" w:rsidRDefault="00554522" w:rsidP="009139D7">
            <w:pPr>
              <w:rPr>
                <w:rFonts w:ascii="Garamond" w:hAnsi="Garamond"/>
              </w:rPr>
            </w:pPr>
            <w:r>
              <w:rPr>
                <w:rFonts w:ascii="Garamond" w:hAnsi="Garamond"/>
              </w:rPr>
              <w:t>2/7</w:t>
            </w:r>
          </w:p>
        </w:tc>
        <w:tc>
          <w:tcPr>
            <w:tcW w:w="2178" w:type="dxa"/>
            <w:shd w:val="clear" w:color="auto" w:fill="auto"/>
          </w:tcPr>
          <w:p w14:paraId="289B9904" w14:textId="59EEB422" w:rsidR="00E90D2C" w:rsidRPr="00B45D87" w:rsidRDefault="00B144E8" w:rsidP="00B144E8">
            <w:pPr>
              <w:rPr>
                <w:rFonts w:ascii="Garamond" w:hAnsi="Garamond"/>
                <w:b/>
              </w:rPr>
            </w:pPr>
            <w:r>
              <w:rPr>
                <w:rFonts w:ascii="Garamond" w:hAnsi="Garamond"/>
              </w:rPr>
              <w:t xml:space="preserve">Local Planning for Global Climate Change </w:t>
            </w:r>
          </w:p>
        </w:tc>
        <w:tc>
          <w:tcPr>
            <w:tcW w:w="4842" w:type="dxa"/>
            <w:shd w:val="clear" w:color="auto" w:fill="auto"/>
          </w:tcPr>
          <w:p w14:paraId="4EB0A7D9" w14:textId="1A41B163" w:rsidR="0064761C" w:rsidRPr="00406417" w:rsidRDefault="00406417" w:rsidP="0064761C">
            <w:pPr>
              <w:rPr>
                <w:rFonts w:ascii="Garamond" w:hAnsi="Garamond"/>
              </w:rPr>
            </w:pPr>
            <w:r>
              <w:rPr>
                <w:rFonts w:ascii="Garamond" w:hAnsi="Garamond"/>
              </w:rPr>
              <w:t xml:space="preserve">Harvey, Fiona, </w:t>
            </w:r>
            <w:r w:rsidRPr="00406417">
              <w:rPr>
                <w:rFonts w:ascii="Garamond" w:hAnsi="Garamond"/>
                <w:i/>
              </w:rPr>
              <w:t>What is COP27 and Why does it Matter</w:t>
            </w:r>
            <w:proofErr w:type="gramStart"/>
            <w:r w:rsidRPr="00406417">
              <w:rPr>
                <w:rFonts w:ascii="Garamond" w:hAnsi="Garamond"/>
                <w:i/>
              </w:rPr>
              <w:t>?</w:t>
            </w:r>
            <w:r>
              <w:rPr>
                <w:rFonts w:ascii="Garamond" w:hAnsi="Garamond"/>
                <w:i/>
              </w:rPr>
              <w:t>,</w:t>
            </w:r>
            <w:proofErr w:type="gramEnd"/>
            <w:r>
              <w:rPr>
                <w:rFonts w:ascii="Garamond" w:hAnsi="Garamond"/>
                <w:i/>
              </w:rPr>
              <w:t xml:space="preserve"> </w:t>
            </w:r>
            <w:r>
              <w:rPr>
                <w:rFonts w:ascii="Garamond" w:hAnsi="Garamond"/>
              </w:rPr>
              <w:t>The Guardian, December 26, 2022.</w:t>
            </w:r>
          </w:p>
          <w:p w14:paraId="47B19519" w14:textId="77777777" w:rsidR="00406417" w:rsidRPr="00A42DF3" w:rsidRDefault="00406417" w:rsidP="0064761C">
            <w:pPr>
              <w:rPr>
                <w:rFonts w:ascii="Garamond" w:hAnsi="Garamond"/>
              </w:rPr>
            </w:pPr>
          </w:p>
          <w:p w14:paraId="0393F42A" w14:textId="6245057E" w:rsidR="0064761C" w:rsidRPr="00A42DF3" w:rsidRDefault="00A42DF3" w:rsidP="0064761C">
            <w:pPr>
              <w:rPr>
                <w:rFonts w:eastAsia="Times New Roman"/>
              </w:rPr>
            </w:pPr>
            <w:r w:rsidRPr="00A42DF3">
              <w:rPr>
                <w:rFonts w:ascii="Garamond" w:hAnsi="Garamond"/>
              </w:rPr>
              <w:t>Oppenheimer, Michael and Anttila-Hughes, Jesse K, “The Science of Climate Change,” The Future of Children, Volume 26, No. 1, Spring 2016.</w:t>
            </w:r>
          </w:p>
          <w:p w14:paraId="5E0A9937" w14:textId="77777777" w:rsidR="0064761C" w:rsidRPr="00B144E8" w:rsidRDefault="0064761C" w:rsidP="0064761C">
            <w:pPr>
              <w:rPr>
                <w:rFonts w:ascii="Garamond" w:hAnsi="Garamond"/>
                <w:highlight w:val="yellow"/>
              </w:rPr>
            </w:pPr>
          </w:p>
          <w:p w14:paraId="29C37BEF" w14:textId="39CC00A4" w:rsidR="0064761C" w:rsidRDefault="00865712" w:rsidP="0064761C">
            <w:pPr>
              <w:rPr>
                <w:rFonts w:ascii="Garamond" w:eastAsia="Times New Roman" w:hAnsi="Garamond"/>
              </w:rPr>
            </w:pPr>
            <w:r>
              <w:rPr>
                <w:rFonts w:ascii="Garamond" w:eastAsia="Times New Roman" w:hAnsi="Garamond"/>
              </w:rPr>
              <w:t xml:space="preserve">Rosen, Julia, </w:t>
            </w:r>
            <w:r w:rsidRPr="00865712">
              <w:rPr>
                <w:rFonts w:ascii="Garamond" w:eastAsia="Times New Roman" w:hAnsi="Garamond"/>
                <w:i/>
              </w:rPr>
              <w:t>The Science of Climate Change Explained: Facts, Evidence, and Proof</w:t>
            </w:r>
            <w:r>
              <w:rPr>
                <w:rFonts w:ascii="Garamond" w:eastAsia="Times New Roman" w:hAnsi="Garamond"/>
              </w:rPr>
              <w:t xml:space="preserve">, New York Times, published April 19, 2021, updated November 6, 2021. </w:t>
            </w:r>
            <w:hyperlink r:id="rId16" w:history="1">
              <w:r w:rsidRPr="00757D0A">
                <w:rPr>
                  <w:rStyle w:val="Hyperlink"/>
                  <w:rFonts w:ascii="Garamond" w:eastAsia="Times New Roman" w:hAnsi="Garamond"/>
                </w:rPr>
                <w:t>https://www.nytimes.com/article/climate-change-global-warming-faq.html</w:t>
              </w:r>
            </w:hyperlink>
          </w:p>
          <w:p w14:paraId="5175AA83" w14:textId="77777777" w:rsidR="00865712" w:rsidRDefault="00865712" w:rsidP="0064761C">
            <w:pPr>
              <w:rPr>
                <w:rFonts w:ascii="Garamond" w:eastAsia="Times New Roman" w:hAnsi="Garamond"/>
              </w:rPr>
            </w:pPr>
          </w:p>
          <w:p w14:paraId="6B6F93C1" w14:textId="2BA0F0F3" w:rsidR="00D63FF5" w:rsidRDefault="00865712" w:rsidP="0064761C">
            <w:pPr>
              <w:rPr>
                <w:rFonts w:ascii="Garamond" w:eastAsia="Times New Roman" w:hAnsi="Garamond"/>
              </w:rPr>
            </w:pPr>
            <w:r>
              <w:rPr>
                <w:rFonts w:ascii="Garamond" w:eastAsia="Times New Roman" w:hAnsi="Garamond"/>
              </w:rPr>
              <w:t xml:space="preserve">Prairie Climate Centre, Building a Climate-Resilient City, various topical briefs (read </w:t>
            </w:r>
            <w:r w:rsidR="00A27623">
              <w:rPr>
                <w:rFonts w:ascii="Garamond" w:eastAsia="Times New Roman" w:hAnsi="Garamond"/>
              </w:rPr>
              <w:t>one or two)</w:t>
            </w:r>
          </w:p>
          <w:p w14:paraId="6D3D05DB" w14:textId="77777777" w:rsidR="00A27623" w:rsidRDefault="00A27623" w:rsidP="0064761C">
            <w:pPr>
              <w:rPr>
                <w:rFonts w:ascii="Garamond" w:eastAsia="Times New Roman" w:hAnsi="Garamond"/>
              </w:rPr>
            </w:pPr>
          </w:p>
          <w:p w14:paraId="59169054" w14:textId="6B88577D" w:rsidR="00A27623" w:rsidRPr="00865712" w:rsidRDefault="00A27623" w:rsidP="0064761C">
            <w:pPr>
              <w:rPr>
                <w:rFonts w:ascii="Garamond" w:eastAsia="Times New Roman" w:hAnsi="Garamond"/>
              </w:rPr>
            </w:pPr>
            <w:r>
              <w:rPr>
                <w:rFonts w:ascii="Garamond" w:eastAsia="Times New Roman" w:hAnsi="Garamond"/>
              </w:rPr>
              <w:t xml:space="preserve">Center for Climate and Energy Solutions/The United States Conference of Mayors, </w:t>
            </w:r>
            <w:r w:rsidRPr="00A27623">
              <w:rPr>
                <w:rFonts w:ascii="Garamond" w:eastAsia="Times New Roman" w:hAnsi="Garamond"/>
                <w:i/>
              </w:rPr>
              <w:t>Mayors Leading the Way on Climate: How Cities Large and Small are Taking Action</w:t>
            </w:r>
            <w:r>
              <w:rPr>
                <w:rFonts w:ascii="Garamond" w:eastAsia="Times New Roman" w:hAnsi="Garamond"/>
              </w:rPr>
              <w:t>, January 2020. (www/C2es.org)</w:t>
            </w:r>
          </w:p>
          <w:p w14:paraId="7449EBD1" w14:textId="44AEDEBC" w:rsidR="00E90D2C" w:rsidRPr="00B45D87" w:rsidRDefault="00E90D2C" w:rsidP="0064761C">
            <w:pPr>
              <w:ind w:left="20" w:hanging="10"/>
              <w:rPr>
                <w:rFonts w:ascii="Garamond" w:hAnsi="Garamond"/>
                <w:b/>
                <w:sz w:val="22"/>
              </w:rPr>
            </w:pPr>
          </w:p>
        </w:tc>
        <w:tc>
          <w:tcPr>
            <w:tcW w:w="1890" w:type="dxa"/>
            <w:tcBorders>
              <w:top w:val="single" w:sz="4" w:space="0" w:color="auto"/>
              <w:right w:val="nil"/>
            </w:tcBorders>
            <w:shd w:val="clear" w:color="auto" w:fill="auto"/>
          </w:tcPr>
          <w:p w14:paraId="52E8A810" w14:textId="0C9F6550" w:rsidR="00E90D2C" w:rsidRPr="00B45D87" w:rsidRDefault="00E90D2C" w:rsidP="00B144E8">
            <w:pPr>
              <w:rPr>
                <w:rFonts w:ascii="Garamond" w:hAnsi="Garamond"/>
                <w:i/>
              </w:rPr>
            </w:pPr>
          </w:p>
        </w:tc>
      </w:tr>
      <w:tr w:rsidR="00554522" w:rsidRPr="00B45D87" w14:paraId="749A7FA4" w14:textId="77777777" w:rsidTr="009139D7">
        <w:tc>
          <w:tcPr>
            <w:tcW w:w="828" w:type="dxa"/>
            <w:tcBorders>
              <w:left w:val="nil"/>
            </w:tcBorders>
          </w:tcPr>
          <w:p w14:paraId="0828D8DC" w14:textId="4459C953" w:rsidR="00554522" w:rsidRPr="00476B78" w:rsidRDefault="00554522" w:rsidP="009139D7">
            <w:pPr>
              <w:rPr>
                <w:highlight w:val="yellow"/>
              </w:rPr>
            </w:pPr>
            <w:r w:rsidRPr="0026682A">
              <w:t>3</w:t>
            </w:r>
          </w:p>
        </w:tc>
        <w:tc>
          <w:tcPr>
            <w:tcW w:w="810" w:type="dxa"/>
            <w:tcBorders>
              <w:left w:val="nil"/>
            </w:tcBorders>
            <w:shd w:val="clear" w:color="auto" w:fill="auto"/>
          </w:tcPr>
          <w:p w14:paraId="2214141D" w14:textId="6710A1F7" w:rsidR="00554522" w:rsidRPr="00476B78" w:rsidRDefault="00554522" w:rsidP="009139D7">
            <w:pPr>
              <w:rPr>
                <w:rFonts w:ascii="Garamond" w:hAnsi="Garamond"/>
                <w:highlight w:val="yellow"/>
              </w:rPr>
            </w:pPr>
            <w:r w:rsidRPr="0026682A">
              <w:rPr>
                <w:rFonts w:ascii="Garamond" w:hAnsi="Garamond"/>
              </w:rPr>
              <w:t>2/14</w:t>
            </w:r>
          </w:p>
        </w:tc>
        <w:tc>
          <w:tcPr>
            <w:tcW w:w="2178" w:type="dxa"/>
            <w:shd w:val="clear" w:color="auto" w:fill="auto"/>
          </w:tcPr>
          <w:p w14:paraId="72DCAE27" w14:textId="77777777" w:rsidR="0026682A" w:rsidRPr="00E02364" w:rsidRDefault="0026682A" w:rsidP="0026682A">
            <w:pPr>
              <w:rPr>
                <w:rFonts w:ascii="Garamond" w:hAnsi="Garamond"/>
              </w:rPr>
            </w:pPr>
            <w:r w:rsidRPr="00E02364">
              <w:rPr>
                <w:rFonts w:ascii="Garamond" w:hAnsi="Garamond"/>
              </w:rPr>
              <w:t>Habitat Conservation Planning</w:t>
            </w:r>
          </w:p>
          <w:p w14:paraId="77546C1B" w14:textId="04227912" w:rsidR="00554522" w:rsidRPr="00476B78" w:rsidRDefault="00554522" w:rsidP="0026682A">
            <w:pPr>
              <w:rPr>
                <w:rFonts w:ascii="Garamond" w:hAnsi="Garamond"/>
                <w:b/>
                <w:highlight w:val="yellow"/>
              </w:rPr>
            </w:pPr>
          </w:p>
        </w:tc>
        <w:tc>
          <w:tcPr>
            <w:tcW w:w="4842" w:type="dxa"/>
            <w:shd w:val="clear" w:color="auto" w:fill="auto"/>
          </w:tcPr>
          <w:p w14:paraId="3AE4CEBD" w14:textId="77777777" w:rsidR="0026682A" w:rsidRPr="00E02364" w:rsidRDefault="0026682A" w:rsidP="0026682A">
            <w:pPr>
              <w:rPr>
                <w:rFonts w:ascii="Garamond" w:hAnsi="Garamond"/>
              </w:rPr>
            </w:pPr>
            <w:r w:rsidRPr="00E02364">
              <w:rPr>
                <w:rFonts w:ascii="Garamond" w:hAnsi="Garamond"/>
              </w:rPr>
              <w:t>Stanford HCP Chapter 1</w:t>
            </w:r>
          </w:p>
          <w:p w14:paraId="76DBFE3A" w14:textId="77777777" w:rsidR="0026682A" w:rsidRPr="00E02364" w:rsidRDefault="0026682A" w:rsidP="0026682A">
            <w:pPr>
              <w:rPr>
                <w:rFonts w:ascii="Garamond" w:hAnsi="Garamond"/>
              </w:rPr>
            </w:pPr>
            <w:r w:rsidRPr="00E02364">
              <w:rPr>
                <w:rFonts w:ascii="Garamond" w:hAnsi="Garamond"/>
              </w:rPr>
              <w:t>Skim other chapters:</w:t>
            </w:r>
          </w:p>
          <w:p w14:paraId="70B4E18A" w14:textId="77777777" w:rsidR="0026682A" w:rsidRPr="00E02364" w:rsidRDefault="0026682A" w:rsidP="0026682A">
            <w:pPr>
              <w:rPr>
                <w:rFonts w:ascii="Garamond" w:hAnsi="Garamond"/>
              </w:rPr>
            </w:pPr>
            <w:hyperlink r:id="rId17" w:history="1">
              <w:r w:rsidRPr="00E02364">
                <w:rPr>
                  <w:rStyle w:val="Hyperlink"/>
                  <w:rFonts w:ascii="Garamond" w:hAnsi="Garamond"/>
                </w:rPr>
                <w:t>https://hcp.stanford.edu/documents.html</w:t>
              </w:r>
            </w:hyperlink>
          </w:p>
          <w:p w14:paraId="663D6FAE" w14:textId="77777777" w:rsidR="0026682A" w:rsidRPr="00E02364" w:rsidRDefault="0026682A" w:rsidP="0026682A">
            <w:pPr>
              <w:rPr>
                <w:rFonts w:ascii="Garamond" w:hAnsi="Garamond"/>
              </w:rPr>
            </w:pPr>
          </w:p>
          <w:p w14:paraId="5DF24C7D" w14:textId="77777777" w:rsidR="0026682A" w:rsidRPr="00E02364" w:rsidRDefault="0026682A" w:rsidP="0026682A">
            <w:pPr>
              <w:rPr>
                <w:rFonts w:ascii="Garamond" w:hAnsi="Garamond"/>
              </w:rPr>
            </w:pPr>
            <w:r w:rsidRPr="00E02364">
              <w:rPr>
                <w:rFonts w:ascii="Garamond" w:hAnsi="Garamond"/>
              </w:rPr>
              <w:t>Cylinder, et al, Understanding the Habitat Conservation Planning Process in California, Institute for Local Self Government, 2004</w:t>
            </w:r>
          </w:p>
          <w:p w14:paraId="336D2EED" w14:textId="77777777" w:rsidR="0026682A" w:rsidRPr="00E02364" w:rsidRDefault="0026682A" w:rsidP="0026682A">
            <w:pPr>
              <w:rPr>
                <w:rFonts w:ascii="Garamond" w:hAnsi="Garamond"/>
              </w:rPr>
            </w:pPr>
          </w:p>
          <w:p w14:paraId="7EAE19ED" w14:textId="77777777" w:rsidR="0026682A" w:rsidRDefault="0026682A" w:rsidP="0026682A">
            <w:pPr>
              <w:ind w:left="54"/>
              <w:rPr>
                <w:rFonts w:ascii="Garamond" w:hAnsi="Garamond"/>
                <w:highlight w:val="yellow"/>
              </w:rPr>
            </w:pPr>
            <w:r w:rsidRPr="00E02364">
              <w:rPr>
                <w:rFonts w:ascii="Garamond" w:hAnsi="Garamond"/>
              </w:rPr>
              <w:t xml:space="preserve">Habitat Conservation Planning in San Diego, </w:t>
            </w:r>
            <w:r w:rsidRPr="00E02364">
              <w:rPr>
                <w:rFonts w:ascii="Garamond" w:hAnsi="Garamond"/>
              </w:rPr>
              <w:lastRenderedPageBreak/>
              <w:t>California: Lessons Learned After Five Years of Implementation, Cambridge University Press: 31 October 2005</w:t>
            </w:r>
          </w:p>
          <w:p w14:paraId="7CC44443" w14:textId="35B16BFE" w:rsidR="00554522" w:rsidRPr="00476B78" w:rsidRDefault="00554522" w:rsidP="0026682A">
            <w:pPr>
              <w:ind w:left="20" w:hanging="10"/>
              <w:rPr>
                <w:rFonts w:ascii="Garamond" w:hAnsi="Garamond"/>
                <w:b/>
                <w:sz w:val="22"/>
                <w:highlight w:val="yellow"/>
              </w:rPr>
            </w:pPr>
          </w:p>
        </w:tc>
        <w:tc>
          <w:tcPr>
            <w:tcW w:w="1890" w:type="dxa"/>
            <w:tcBorders>
              <w:right w:val="nil"/>
            </w:tcBorders>
            <w:shd w:val="clear" w:color="auto" w:fill="auto"/>
          </w:tcPr>
          <w:p w14:paraId="107BB34E" w14:textId="77777777" w:rsidR="00554522" w:rsidRPr="00B45D87" w:rsidRDefault="00554522" w:rsidP="009139D7">
            <w:pPr>
              <w:rPr>
                <w:rFonts w:ascii="Garamond" w:hAnsi="Garamond"/>
                <w:i/>
              </w:rPr>
            </w:pPr>
          </w:p>
        </w:tc>
      </w:tr>
      <w:tr w:rsidR="00554522" w:rsidRPr="00476B78" w14:paraId="2B0FADF7" w14:textId="77777777" w:rsidTr="009139D7">
        <w:tc>
          <w:tcPr>
            <w:tcW w:w="828" w:type="dxa"/>
            <w:tcBorders>
              <w:left w:val="nil"/>
            </w:tcBorders>
          </w:tcPr>
          <w:p w14:paraId="5520AA6E" w14:textId="2930AFD2" w:rsidR="00554522" w:rsidRPr="00A13701" w:rsidRDefault="00CD1F1E" w:rsidP="009139D7">
            <w:r w:rsidRPr="00A13701">
              <w:lastRenderedPageBreak/>
              <w:t>4</w:t>
            </w:r>
          </w:p>
        </w:tc>
        <w:tc>
          <w:tcPr>
            <w:tcW w:w="810" w:type="dxa"/>
            <w:tcBorders>
              <w:left w:val="nil"/>
            </w:tcBorders>
            <w:shd w:val="clear" w:color="auto" w:fill="auto"/>
          </w:tcPr>
          <w:p w14:paraId="613718FF" w14:textId="355A672E" w:rsidR="00554522" w:rsidRPr="00A13701" w:rsidRDefault="00554522" w:rsidP="009139D7">
            <w:pPr>
              <w:rPr>
                <w:rFonts w:ascii="Garamond" w:hAnsi="Garamond"/>
              </w:rPr>
            </w:pPr>
            <w:r w:rsidRPr="00A13701">
              <w:rPr>
                <w:rFonts w:ascii="Garamond" w:hAnsi="Garamond"/>
              </w:rPr>
              <w:t>2/2</w:t>
            </w:r>
            <w:r w:rsidR="00437BF0" w:rsidRPr="00A13701">
              <w:rPr>
                <w:rFonts w:ascii="Garamond" w:hAnsi="Garamond"/>
              </w:rPr>
              <w:t>1</w:t>
            </w:r>
          </w:p>
        </w:tc>
        <w:tc>
          <w:tcPr>
            <w:tcW w:w="2178" w:type="dxa"/>
            <w:shd w:val="clear" w:color="auto" w:fill="auto"/>
          </w:tcPr>
          <w:p w14:paraId="73C9A025" w14:textId="77777777" w:rsidR="0026682A" w:rsidRPr="0026682A" w:rsidRDefault="0026682A" w:rsidP="0026682A">
            <w:pPr>
              <w:rPr>
                <w:rFonts w:ascii="Garamond" w:hAnsi="Garamond"/>
              </w:rPr>
            </w:pPr>
            <w:r w:rsidRPr="0026682A">
              <w:rPr>
                <w:rFonts w:ascii="Garamond" w:hAnsi="Garamond"/>
              </w:rPr>
              <w:t xml:space="preserve">Transportation and Land Use Planning </w:t>
            </w:r>
          </w:p>
          <w:p w14:paraId="1911B3BD" w14:textId="77777777" w:rsidR="0026682A" w:rsidRPr="0026682A" w:rsidRDefault="0026682A" w:rsidP="0026682A">
            <w:pPr>
              <w:rPr>
                <w:rFonts w:ascii="Garamond" w:hAnsi="Garamond"/>
              </w:rPr>
            </w:pPr>
            <w:r w:rsidRPr="0026682A">
              <w:rPr>
                <w:rFonts w:ascii="Garamond" w:hAnsi="Garamond"/>
              </w:rPr>
              <w:t xml:space="preserve">(Guest Speaker: </w:t>
            </w:r>
            <w:proofErr w:type="spellStart"/>
            <w:r w:rsidRPr="0026682A">
              <w:rPr>
                <w:rFonts w:ascii="Garamond" w:hAnsi="Garamond"/>
              </w:rPr>
              <w:t>Franziska</w:t>
            </w:r>
            <w:proofErr w:type="spellEnd"/>
            <w:r w:rsidRPr="0026682A">
              <w:rPr>
                <w:rFonts w:ascii="Garamond" w:hAnsi="Garamond"/>
              </w:rPr>
              <w:t xml:space="preserve"> Church, Fehr &amp; Peers)</w:t>
            </w:r>
          </w:p>
          <w:p w14:paraId="57291CB8" w14:textId="77777777" w:rsidR="0026682A" w:rsidRPr="0026682A" w:rsidRDefault="0026682A" w:rsidP="00A13701">
            <w:pPr>
              <w:rPr>
                <w:rFonts w:ascii="Garamond" w:hAnsi="Garamond"/>
              </w:rPr>
            </w:pPr>
          </w:p>
          <w:p w14:paraId="4764BA54" w14:textId="77777777" w:rsidR="00A13701" w:rsidRPr="0026682A" w:rsidRDefault="00A13701" w:rsidP="00E02364">
            <w:pPr>
              <w:rPr>
                <w:rFonts w:ascii="Garamond" w:hAnsi="Garamond"/>
              </w:rPr>
            </w:pPr>
          </w:p>
          <w:p w14:paraId="7E4CF3BD" w14:textId="77777777" w:rsidR="00A13701" w:rsidRPr="0026682A" w:rsidRDefault="00A13701" w:rsidP="00E02364">
            <w:pPr>
              <w:rPr>
                <w:rFonts w:ascii="Garamond" w:hAnsi="Garamond"/>
              </w:rPr>
            </w:pPr>
          </w:p>
          <w:p w14:paraId="19C6E314" w14:textId="296827B6" w:rsidR="00554522" w:rsidRPr="0026682A" w:rsidRDefault="00554522" w:rsidP="00E02364">
            <w:pPr>
              <w:rPr>
                <w:rFonts w:ascii="Garamond" w:hAnsi="Garamond"/>
              </w:rPr>
            </w:pPr>
          </w:p>
        </w:tc>
        <w:tc>
          <w:tcPr>
            <w:tcW w:w="4842" w:type="dxa"/>
            <w:shd w:val="clear" w:color="auto" w:fill="auto"/>
          </w:tcPr>
          <w:p w14:paraId="418CE0CA" w14:textId="77777777" w:rsidR="0026682A" w:rsidRPr="0026682A" w:rsidRDefault="0026682A" w:rsidP="0026682A">
            <w:pPr>
              <w:ind w:left="54"/>
              <w:rPr>
                <w:rFonts w:ascii="Garamond" w:hAnsi="Garamond"/>
              </w:rPr>
            </w:pPr>
            <w:r w:rsidRPr="0026682A">
              <w:rPr>
                <w:rFonts w:ascii="Garamond" w:hAnsi="Garamond"/>
              </w:rPr>
              <w:t>Daniels Chapter 18, Transportation Planning and the Environment</w:t>
            </w:r>
          </w:p>
          <w:p w14:paraId="54988E48" w14:textId="77777777" w:rsidR="0026682A" w:rsidRPr="0026682A" w:rsidRDefault="0026682A" w:rsidP="0026682A">
            <w:pPr>
              <w:ind w:left="20" w:hanging="10"/>
              <w:rPr>
                <w:rFonts w:ascii="Garamond" w:hAnsi="Garamond"/>
              </w:rPr>
            </w:pPr>
          </w:p>
          <w:p w14:paraId="7B974562" w14:textId="77777777" w:rsidR="0026682A" w:rsidRPr="0026682A" w:rsidRDefault="0026682A" w:rsidP="0026682A">
            <w:pPr>
              <w:ind w:left="20" w:hanging="10"/>
              <w:rPr>
                <w:rFonts w:ascii="Garamond" w:hAnsi="Garamond" w:cs="Calibri"/>
                <w:bCs/>
                <w:color w:val="000000"/>
              </w:rPr>
            </w:pPr>
            <w:r w:rsidRPr="0026682A">
              <w:rPr>
                <w:rFonts w:ascii="Garamond" w:hAnsi="Garamond"/>
              </w:rPr>
              <w:t xml:space="preserve">Governor’s Office of Planning and Research (OPR), </w:t>
            </w:r>
            <w:r w:rsidRPr="0026682A">
              <w:rPr>
                <w:rFonts w:ascii="Garamond" w:hAnsi="Garamond" w:cs="Calibri"/>
                <w:bCs/>
                <w:color w:val="000000"/>
              </w:rPr>
              <w:t>Technical Advisory on Evaluating Transportation Impacts under CEQA, December 2018</w:t>
            </w:r>
          </w:p>
          <w:p w14:paraId="754DA9A6" w14:textId="77777777" w:rsidR="0026682A" w:rsidRPr="0026682A" w:rsidRDefault="0026682A" w:rsidP="0026682A">
            <w:pPr>
              <w:ind w:left="20" w:hanging="10"/>
              <w:rPr>
                <w:rFonts w:ascii="Garamond" w:hAnsi="Garamond" w:cs="Calibri"/>
                <w:bCs/>
                <w:color w:val="000000"/>
              </w:rPr>
            </w:pPr>
          </w:p>
          <w:p w14:paraId="3F72389F" w14:textId="77777777" w:rsidR="0026682A" w:rsidRPr="0026682A" w:rsidRDefault="0026682A" w:rsidP="0026682A">
            <w:pPr>
              <w:ind w:left="20" w:hanging="10"/>
              <w:rPr>
                <w:rFonts w:ascii="Garamond" w:hAnsi="Garamond" w:cs="Calibri"/>
                <w:bCs/>
                <w:color w:val="000000"/>
              </w:rPr>
            </w:pPr>
            <w:r w:rsidRPr="0026682A">
              <w:rPr>
                <w:rFonts w:ascii="Garamond" w:hAnsi="Garamond" w:cs="Calibri"/>
                <w:bCs/>
                <w:color w:val="000000"/>
              </w:rPr>
              <w:t xml:space="preserve">Lawrence D. Frank, et al, </w:t>
            </w:r>
            <w:r w:rsidRPr="0026682A">
              <w:rPr>
                <w:rFonts w:ascii="Garamond" w:hAnsi="Garamond" w:cs="Calibri"/>
                <w:bCs/>
                <w:i/>
                <w:color w:val="000000"/>
              </w:rPr>
              <w:t>The Urban Form and Climate Change Gamble</w:t>
            </w:r>
            <w:r w:rsidRPr="0026682A">
              <w:rPr>
                <w:rFonts w:ascii="Garamond" w:hAnsi="Garamond" w:cs="Calibri"/>
                <w:bCs/>
                <w:color w:val="000000"/>
              </w:rPr>
              <w:t>. Planning, August/September 2007</w:t>
            </w:r>
          </w:p>
          <w:p w14:paraId="7E023414" w14:textId="082BE7CC" w:rsidR="00554522" w:rsidRPr="0026682A" w:rsidRDefault="00554522" w:rsidP="00307F61">
            <w:pPr>
              <w:rPr>
                <w:rFonts w:ascii="Garamond" w:hAnsi="Garamond"/>
              </w:rPr>
            </w:pPr>
            <w:bookmarkStart w:id="0" w:name="_GoBack"/>
            <w:bookmarkEnd w:id="0"/>
          </w:p>
        </w:tc>
        <w:tc>
          <w:tcPr>
            <w:tcW w:w="1890" w:type="dxa"/>
            <w:tcBorders>
              <w:right w:val="nil"/>
            </w:tcBorders>
            <w:shd w:val="clear" w:color="auto" w:fill="auto"/>
          </w:tcPr>
          <w:p w14:paraId="3594DDD9" w14:textId="647F4711" w:rsidR="00554522" w:rsidRPr="00476B78" w:rsidRDefault="00A83C5D" w:rsidP="009139D7">
            <w:pPr>
              <w:rPr>
                <w:rFonts w:ascii="Garamond" w:hAnsi="Garamond"/>
                <w:i/>
                <w:highlight w:val="yellow"/>
              </w:rPr>
            </w:pPr>
            <w:r w:rsidRPr="00A13701">
              <w:rPr>
                <w:rFonts w:ascii="Garamond" w:hAnsi="Garamond"/>
                <w:b/>
                <w:i/>
              </w:rPr>
              <w:t>Climate Change Assignment Due</w:t>
            </w:r>
          </w:p>
        </w:tc>
      </w:tr>
      <w:tr w:rsidR="00554522" w:rsidRPr="00476B78" w14:paraId="7328934F" w14:textId="77777777" w:rsidTr="009139D7">
        <w:tc>
          <w:tcPr>
            <w:tcW w:w="828" w:type="dxa"/>
            <w:tcBorders>
              <w:left w:val="nil"/>
            </w:tcBorders>
          </w:tcPr>
          <w:p w14:paraId="382B33EC" w14:textId="65098B16" w:rsidR="00554522" w:rsidRPr="00E02364" w:rsidRDefault="00CD1F1E" w:rsidP="009139D7">
            <w:r w:rsidRPr="00E02364">
              <w:t>5</w:t>
            </w:r>
          </w:p>
        </w:tc>
        <w:tc>
          <w:tcPr>
            <w:tcW w:w="810" w:type="dxa"/>
            <w:tcBorders>
              <w:left w:val="nil"/>
            </w:tcBorders>
            <w:shd w:val="clear" w:color="auto" w:fill="auto"/>
          </w:tcPr>
          <w:p w14:paraId="6C73B3EE" w14:textId="1A10011C" w:rsidR="00554522" w:rsidRPr="00E02364" w:rsidRDefault="00437BF0" w:rsidP="00E90D2C">
            <w:pPr>
              <w:rPr>
                <w:rFonts w:ascii="Garamond" w:hAnsi="Garamond"/>
              </w:rPr>
            </w:pPr>
            <w:r w:rsidRPr="00E02364">
              <w:rPr>
                <w:rFonts w:ascii="Garamond" w:hAnsi="Garamond"/>
              </w:rPr>
              <w:t>2/28</w:t>
            </w:r>
          </w:p>
        </w:tc>
        <w:tc>
          <w:tcPr>
            <w:tcW w:w="2178" w:type="dxa"/>
            <w:shd w:val="clear" w:color="auto" w:fill="auto"/>
          </w:tcPr>
          <w:p w14:paraId="2DCAB171" w14:textId="1BC834EE" w:rsidR="00E02364" w:rsidRPr="00E02364" w:rsidRDefault="00A13701" w:rsidP="00A13701">
            <w:pPr>
              <w:rPr>
                <w:rFonts w:ascii="Garamond" w:hAnsi="Garamond"/>
              </w:rPr>
            </w:pPr>
            <w:r w:rsidRPr="00A13701">
              <w:rPr>
                <w:rFonts w:ascii="Garamond" w:hAnsi="Garamond"/>
              </w:rPr>
              <w:t xml:space="preserve">Regional Planning (Guest Speaker: Ben </w:t>
            </w:r>
            <w:proofErr w:type="spellStart"/>
            <w:r w:rsidRPr="00A13701">
              <w:rPr>
                <w:rFonts w:ascii="Garamond" w:hAnsi="Garamond"/>
              </w:rPr>
              <w:t>Botkin</w:t>
            </w:r>
            <w:proofErr w:type="spellEnd"/>
            <w:r w:rsidRPr="00A13701">
              <w:rPr>
                <w:rFonts w:ascii="Garamond" w:hAnsi="Garamond"/>
              </w:rPr>
              <w:t>, Metropolitan Transportation Commission)</w:t>
            </w:r>
          </w:p>
        </w:tc>
        <w:tc>
          <w:tcPr>
            <w:tcW w:w="4842" w:type="dxa"/>
            <w:shd w:val="clear" w:color="auto" w:fill="auto"/>
          </w:tcPr>
          <w:p w14:paraId="2EEA6F54" w14:textId="77777777" w:rsidR="00A13701" w:rsidRPr="00A13701" w:rsidRDefault="00A13701" w:rsidP="00A13701">
            <w:pPr>
              <w:ind w:left="360" w:hanging="360"/>
              <w:rPr>
                <w:rFonts w:ascii="Garamond" w:hAnsi="Garamond"/>
              </w:rPr>
            </w:pPr>
            <w:r w:rsidRPr="00A13701">
              <w:rPr>
                <w:rFonts w:ascii="Garamond" w:hAnsi="Garamond"/>
              </w:rPr>
              <w:t>Daniels, Chapter 9</w:t>
            </w:r>
          </w:p>
          <w:p w14:paraId="72BDBCC2" w14:textId="77777777" w:rsidR="00A13701" w:rsidRPr="00A13701" w:rsidRDefault="00A13701" w:rsidP="00A13701">
            <w:pPr>
              <w:ind w:left="360" w:hanging="360"/>
              <w:rPr>
                <w:rFonts w:ascii="Garamond" w:hAnsi="Garamond"/>
              </w:rPr>
            </w:pPr>
          </w:p>
          <w:p w14:paraId="73FF571C" w14:textId="77777777" w:rsidR="00A13701" w:rsidRPr="00A13701" w:rsidRDefault="00A13701" w:rsidP="00A13701">
            <w:pPr>
              <w:ind w:left="360" w:hanging="360"/>
              <w:rPr>
                <w:rFonts w:ascii="Garamond" w:hAnsi="Garamond"/>
              </w:rPr>
            </w:pPr>
            <w:r w:rsidRPr="00A13701">
              <w:rPr>
                <w:rFonts w:ascii="Garamond" w:hAnsi="Garamond"/>
              </w:rPr>
              <w:t>Additional readings to be assigned</w:t>
            </w:r>
          </w:p>
          <w:p w14:paraId="5405F8D1" w14:textId="11BFE07A" w:rsidR="00E02364" w:rsidRPr="00E02364" w:rsidRDefault="00E02364" w:rsidP="00C84225">
            <w:pPr>
              <w:rPr>
                <w:rFonts w:ascii="Garamond" w:hAnsi="Garamond"/>
              </w:rPr>
            </w:pPr>
          </w:p>
        </w:tc>
        <w:tc>
          <w:tcPr>
            <w:tcW w:w="1890" w:type="dxa"/>
            <w:tcBorders>
              <w:right w:val="nil"/>
            </w:tcBorders>
            <w:shd w:val="clear" w:color="auto" w:fill="auto"/>
          </w:tcPr>
          <w:p w14:paraId="04274FAF" w14:textId="71690204" w:rsidR="00554522" w:rsidRPr="00476B78" w:rsidRDefault="00554522" w:rsidP="00057EFF">
            <w:pPr>
              <w:rPr>
                <w:rFonts w:ascii="Garamond" w:hAnsi="Garamond"/>
                <w:i/>
                <w:highlight w:val="yellow"/>
              </w:rPr>
            </w:pPr>
          </w:p>
        </w:tc>
      </w:tr>
      <w:tr w:rsidR="00E02364" w:rsidRPr="00B45D87" w14:paraId="5AC572AD" w14:textId="77777777" w:rsidTr="009139D7">
        <w:tc>
          <w:tcPr>
            <w:tcW w:w="828" w:type="dxa"/>
            <w:tcBorders>
              <w:left w:val="nil"/>
            </w:tcBorders>
          </w:tcPr>
          <w:p w14:paraId="7BD490AE" w14:textId="72B7B114" w:rsidR="00E02364" w:rsidRDefault="00E02364" w:rsidP="009139D7">
            <w:r>
              <w:t>6</w:t>
            </w:r>
          </w:p>
        </w:tc>
        <w:tc>
          <w:tcPr>
            <w:tcW w:w="810" w:type="dxa"/>
            <w:tcBorders>
              <w:left w:val="nil"/>
            </w:tcBorders>
            <w:shd w:val="clear" w:color="auto" w:fill="auto"/>
          </w:tcPr>
          <w:p w14:paraId="24BF66B6" w14:textId="37BC191D" w:rsidR="00E02364" w:rsidRDefault="00E02364" w:rsidP="00E90D2C">
            <w:pPr>
              <w:rPr>
                <w:rFonts w:ascii="Garamond" w:hAnsi="Garamond"/>
              </w:rPr>
            </w:pPr>
            <w:r>
              <w:rPr>
                <w:rFonts w:ascii="Garamond" w:hAnsi="Garamond"/>
              </w:rPr>
              <w:t>3/7</w:t>
            </w:r>
          </w:p>
        </w:tc>
        <w:tc>
          <w:tcPr>
            <w:tcW w:w="2178" w:type="dxa"/>
            <w:shd w:val="clear" w:color="auto" w:fill="auto"/>
          </w:tcPr>
          <w:p w14:paraId="099EBFC3" w14:textId="77777777" w:rsidR="00E02364" w:rsidRPr="00E02364" w:rsidRDefault="00E02364" w:rsidP="00243D1D">
            <w:pPr>
              <w:rPr>
                <w:rFonts w:ascii="Garamond" w:hAnsi="Garamond"/>
              </w:rPr>
            </w:pPr>
            <w:r w:rsidRPr="00E02364">
              <w:rPr>
                <w:rFonts w:ascii="Garamond" w:hAnsi="Garamond"/>
              </w:rPr>
              <w:t>Water Resources</w:t>
            </w:r>
          </w:p>
          <w:p w14:paraId="2A2F59F5" w14:textId="77777777" w:rsidR="00E02364" w:rsidRPr="00E02364" w:rsidRDefault="00E02364" w:rsidP="00243D1D">
            <w:pPr>
              <w:rPr>
                <w:rFonts w:ascii="Garamond" w:hAnsi="Garamond"/>
              </w:rPr>
            </w:pPr>
            <w:r w:rsidRPr="00E02364">
              <w:rPr>
                <w:rFonts w:ascii="Garamond" w:hAnsi="Garamond"/>
              </w:rPr>
              <w:t xml:space="preserve">(Guest Speaker: Jean </w:t>
            </w:r>
            <w:proofErr w:type="spellStart"/>
            <w:r w:rsidRPr="00E02364">
              <w:rPr>
                <w:rFonts w:ascii="Garamond" w:hAnsi="Garamond"/>
              </w:rPr>
              <w:t>Eisberg</w:t>
            </w:r>
            <w:proofErr w:type="spellEnd"/>
            <w:r w:rsidRPr="00E02364">
              <w:rPr>
                <w:rFonts w:ascii="Garamond" w:hAnsi="Garamond"/>
              </w:rPr>
              <w:t>, Lexington Planning &amp; Eleanor Hollander, City of Berkeley)</w:t>
            </w:r>
          </w:p>
          <w:p w14:paraId="5DD42590" w14:textId="0004E713" w:rsidR="00E02364" w:rsidRPr="00E02364" w:rsidRDefault="00E02364" w:rsidP="00F21240">
            <w:pPr>
              <w:rPr>
                <w:rFonts w:ascii="Garamond" w:hAnsi="Garamond"/>
              </w:rPr>
            </w:pPr>
          </w:p>
        </w:tc>
        <w:tc>
          <w:tcPr>
            <w:tcW w:w="4842" w:type="dxa"/>
            <w:shd w:val="clear" w:color="auto" w:fill="auto"/>
          </w:tcPr>
          <w:p w14:paraId="759AD5BB" w14:textId="77777777" w:rsidR="00E02364" w:rsidRPr="00E02364" w:rsidRDefault="00E02364" w:rsidP="00243D1D">
            <w:pPr>
              <w:rPr>
                <w:rFonts w:ascii="Garamond" w:hAnsi="Garamond"/>
              </w:rPr>
            </w:pPr>
            <w:r w:rsidRPr="00E02364">
              <w:rPr>
                <w:rFonts w:ascii="Garamond" w:hAnsi="Garamond"/>
              </w:rPr>
              <w:t xml:space="preserve">Ingram, </w:t>
            </w:r>
            <w:r w:rsidRPr="00E02364">
              <w:rPr>
                <w:rFonts w:ascii="Garamond" w:hAnsi="Garamond"/>
                <w:i/>
              </w:rPr>
              <w:t>The West Without Water</w:t>
            </w:r>
            <w:r w:rsidRPr="00E02364">
              <w:rPr>
                <w:rFonts w:ascii="Garamond" w:hAnsi="Garamond"/>
              </w:rPr>
              <w:t>, University of California Press: 2013, Chapter 1.</w:t>
            </w:r>
          </w:p>
          <w:p w14:paraId="50065CF2" w14:textId="77777777" w:rsidR="00E02364" w:rsidRPr="00E02364" w:rsidRDefault="00E02364" w:rsidP="00243D1D">
            <w:pPr>
              <w:rPr>
                <w:rFonts w:ascii="Garamond" w:hAnsi="Garamond"/>
              </w:rPr>
            </w:pPr>
          </w:p>
          <w:p w14:paraId="1F288D0D" w14:textId="77777777" w:rsidR="00E02364" w:rsidRPr="00E02364" w:rsidRDefault="00E02364" w:rsidP="00243D1D">
            <w:pPr>
              <w:rPr>
                <w:rFonts w:ascii="Garamond" w:hAnsi="Garamond"/>
              </w:rPr>
            </w:pPr>
            <w:r w:rsidRPr="00E02364">
              <w:rPr>
                <w:rFonts w:ascii="Garamond" w:hAnsi="Garamond"/>
              </w:rPr>
              <w:t>Public Policy Institute of California, Providing Safe Drinking Water, November 2018.</w:t>
            </w:r>
          </w:p>
          <w:p w14:paraId="71B7FD18" w14:textId="77777777" w:rsidR="00E02364" w:rsidRPr="00E02364" w:rsidRDefault="00E02364" w:rsidP="00243D1D">
            <w:pPr>
              <w:rPr>
                <w:rFonts w:ascii="Garamond" w:hAnsi="Garamond"/>
              </w:rPr>
            </w:pPr>
          </w:p>
          <w:p w14:paraId="3A756599" w14:textId="77777777" w:rsidR="00E02364" w:rsidRPr="00E02364" w:rsidRDefault="00E02364" w:rsidP="00243D1D">
            <w:pPr>
              <w:rPr>
                <w:rFonts w:ascii="Garamond" w:hAnsi="Garamond"/>
              </w:rPr>
            </w:pPr>
            <w:r w:rsidRPr="00E02364">
              <w:rPr>
                <w:rFonts w:ascii="Garamond" w:hAnsi="Garamond"/>
              </w:rPr>
              <w:t>State of California, 2020 Water Resilience Portfolio, July 2020</w:t>
            </w:r>
          </w:p>
          <w:p w14:paraId="44C77D5E" w14:textId="77777777" w:rsidR="00E02364" w:rsidRPr="00E02364" w:rsidRDefault="00E02364" w:rsidP="00243D1D">
            <w:pPr>
              <w:rPr>
                <w:rFonts w:ascii="Garamond" w:hAnsi="Garamond"/>
              </w:rPr>
            </w:pPr>
          </w:p>
          <w:p w14:paraId="3421505F" w14:textId="77777777" w:rsidR="00E02364" w:rsidRPr="00E02364" w:rsidRDefault="00E02364" w:rsidP="00243D1D">
            <w:pPr>
              <w:rPr>
                <w:rFonts w:ascii="Garamond" w:hAnsi="Garamond"/>
              </w:rPr>
            </w:pPr>
            <w:r w:rsidRPr="00E02364">
              <w:rPr>
                <w:rFonts w:ascii="Garamond" w:hAnsi="Garamond"/>
              </w:rPr>
              <w:t>SPUR, Future-Proof Water: Where the Bay Area Gets Its Water in the 21</w:t>
            </w:r>
            <w:r w:rsidRPr="00E02364">
              <w:rPr>
                <w:rFonts w:ascii="Garamond" w:hAnsi="Garamond"/>
                <w:vertAlign w:val="superscript"/>
              </w:rPr>
              <w:t xml:space="preserve">st </w:t>
            </w:r>
            <w:r w:rsidRPr="00E02364">
              <w:rPr>
                <w:rFonts w:ascii="Garamond" w:hAnsi="Garamond"/>
              </w:rPr>
              <w:t>Century, March 2013.</w:t>
            </w:r>
          </w:p>
          <w:p w14:paraId="7D152273" w14:textId="77777777" w:rsidR="00E02364" w:rsidRPr="00E02364" w:rsidRDefault="00E02364" w:rsidP="00243D1D">
            <w:pPr>
              <w:rPr>
                <w:rFonts w:ascii="Garamond" w:hAnsi="Garamond"/>
              </w:rPr>
            </w:pPr>
          </w:p>
          <w:p w14:paraId="2ED7A318" w14:textId="77777777" w:rsidR="00E02364" w:rsidRDefault="00E02364" w:rsidP="00243D1D">
            <w:pPr>
              <w:rPr>
                <w:rStyle w:val="Hyperlink"/>
                <w:rFonts w:ascii="Garamond" w:eastAsia="Times New Roman" w:hAnsi="Garamond"/>
              </w:rPr>
            </w:pPr>
            <w:r w:rsidRPr="00E02364">
              <w:rPr>
                <w:rFonts w:ascii="Garamond" w:hAnsi="Garamond"/>
              </w:rPr>
              <w:t xml:space="preserve">Basic info on the California Water System: </w:t>
            </w:r>
            <w:hyperlink r:id="rId18" w:history="1">
              <w:r w:rsidRPr="00E02364">
                <w:rPr>
                  <w:rStyle w:val="Hyperlink"/>
                  <w:rFonts w:ascii="Garamond" w:eastAsia="Times New Roman" w:hAnsi="Garamond"/>
                </w:rPr>
                <w:t>https://water.ca.gov/Water-Basics/The-California-Water-System</w:t>
              </w:r>
            </w:hyperlink>
          </w:p>
          <w:p w14:paraId="52CDBD39" w14:textId="77777777" w:rsidR="00FF6711" w:rsidRDefault="00FF6711" w:rsidP="00243D1D">
            <w:pPr>
              <w:rPr>
                <w:rStyle w:val="Hyperlink"/>
                <w:rFonts w:ascii="Garamond" w:eastAsia="Times New Roman" w:hAnsi="Garamond"/>
              </w:rPr>
            </w:pPr>
          </w:p>
          <w:p w14:paraId="39E1089A" w14:textId="6489E8F7" w:rsidR="00FF6711" w:rsidRPr="00FF6711" w:rsidRDefault="00FF6711" w:rsidP="00243D1D">
            <w:pPr>
              <w:rPr>
                <w:rFonts w:ascii="Garamond" w:eastAsia="Times New Roman" w:hAnsi="Garamond"/>
              </w:rPr>
            </w:pPr>
            <w:r w:rsidRPr="00FF6711">
              <w:rPr>
                <w:rFonts w:ascii="Garamond" w:eastAsia="Times New Roman" w:hAnsi="Garamond"/>
              </w:rPr>
              <w:fldChar w:fldCharType="begin"/>
            </w:r>
            <w:r w:rsidRPr="00FF6711">
              <w:rPr>
                <w:rFonts w:ascii="Garamond" w:eastAsia="Times New Roman" w:hAnsi="Garamond"/>
              </w:rPr>
              <w:instrText xml:space="preserve"> HYPERLINK "https://podcast.app/the-california-floods-e326877452/?utm_source=ios&amp;utm_medium=share" \t "_blank" </w:instrText>
            </w:r>
            <w:r w:rsidRPr="00FF6711">
              <w:rPr>
                <w:rFonts w:ascii="Garamond" w:eastAsia="Times New Roman" w:hAnsi="Garamond"/>
              </w:rPr>
            </w:r>
            <w:r w:rsidRPr="00FF6711">
              <w:rPr>
                <w:rFonts w:ascii="Garamond" w:eastAsia="Times New Roman" w:hAnsi="Garamond"/>
              </w:rPr>
              <w:fldChar w:fldCharType="separate"/>
            </w:r>
            <w:r w:rsidRPr="00FF6711">
              <w:rPr>
                <w:rStyle w:val="Hyperlink"/>
                <w:rFonts w:ascii="Garamond" w:eastAsia="Times New Roman" w:hAnsi="Garamond" w:cs="Arial"/>
                <w:color w:val="1155CC"/>
                <w:shd w:val="clear" w:color="auto" w:fill="FFFFFF"/>
              </w:rPr>
              <w:t>https://podcast.app/the-california-floods-e326877452/?utm_source=ios&amp;utm_medium=share</w:t>
            </w:r>
            <w:r w:rsidRPr="00FF6711">
              <w:rPr>
                <w:rFonts w:ascii="Garamond" w:eastAsia="Times New Roman" w:hAnsi="Garamond"/>
              </w:rPr>
              <w:fldChar w:fldCharType="end"/>
            </w:r>
          </w:p>
          <w:p w14:paraId="2EB1F029" w14:textId="3CF037CA" w:rsidR="00E02364" w:rsidRPr="00E02364" w:rsidRDefault="00E02364" w:rsidP="00C84225">
            <w:pPr>
              <w:rPr>
                <w:rFonts w:ascii="Garamond" w:hAnsi="Garamond"/>
              </w:rPr>
            </w:pPr>
          </w:p>
        </w:tc>
        <w:tc>
          <w:tcPr>
            <w:tcW w:w="1890" w:type="dxa"/>
            <w:tcBorders>
              <w:right w:val="nil"/>
            </w:tcBorders>
            <w:shd w:val="clear" w:color="auto" w:fill="auto"/>
          </w:tcPr>
          <w:p w14:paraId="7B572F7B" w14:textId="77777777" w:rsidR="00E02364" w:rsidRPr="00B45D87" w:rsidRDefault="00E02364" w:rsidP="009139D7">
            <w:pPr>
              <w:rPr>
                <w:rFonts w:ascii="Garamond" w:hAnsi="Garamond"/>
                <w:i/>
              </w:rPr>
            </w:pPr>
          </w:p>
        </w:tc>
      </w:tr>
      <w:tr w:rsidR="00554522" w:rsidRPr="00B45D87" w14:paraId="279E972F" w14:textId="77777777" w:rsidTr="009966A5">
        <w:tc>
          <w:tcPr>
            <w:tcW w:w="10548" w:type="dxa"/>
            <w:gridSpan w:val="5"/>
            <w:tcBorders>
              <w:left w:val="nil"/>
              <w:right w:val="nil"/>
            </w:tcBorders>
          </w:tcPr>
          <w:p w14:paraId="084A5B56" w14:textId="4CED0ADA" w:rsidR="00554522" w:rsidRPr="00AC1480" w:rsidRDefault="00554522" w:rsidP="009139D7">
            <w:pPr>
              <w:rPr>
                <w:rFonts w:ascii="Garamond" w:hAnsi="Garamond"/>
                <w:b/>
                <w:i/>
              </w:rPr>
            </w:pPr>
            <w:r w:rsidRPr="00AC1480">
              <w:rPr>
                <w:rFonts w:ascii="Garamond" w:hAnsi="Garamond"/>
                <w:b/>
              </w:rPr>
              <w:t>Environmental Impact Assessment</w:t>
            </w:r>
          </w:p>
        </w:tc>
      </w:tr>
      <w:tr w:rsidR="00A32047" w:rsidRPr="00B45D87" w14:paraId="66C57A32" w14:textId="77777777" w:rsidTr="009139D7">
        <w:tc>
          <w:tcPr>
            <w:tcW w:w="828" w:type="dxa"/>
            <w:tcBorders>
              <w:left w:val="nil"/>
            </w:tcBorders>
          </w:tcPr>
          <w:p w14:paraId="5A5BC659" w14:textId="7DE414A5" w:rsidR="00A32047" w:rsidRDefault="00CD1F1E" w:rsidP="009139D7">
            <w:r>
              <w:t>7</w:t>
            </w:r>
          </w:p>
        </w:tc>
        <w:tc>
          <w:tcPr>
            <w:tcW w:w="810" w:type="dxa"/>
            <w:tcBorders>
              <w:left w:val="nil"/>
            </w:tcBorders>
            <w:shd w:val="clear" w:color="auto" w:fill="auto"/>
          </w:tcPr>
          <w:p w14:paraId="0DD52A9D" w14:textId="4B8EDDA0" w:rsidR="00A32047" w:rsidRDefault="00A32047" w:rsidP="009139D7">
            <w:pPr>
              <w:rPr>
                <w:rFonts w:ascii="Garamond" w:hAnsi="Garamond"/>
              </w:rPr>
            </w:pPr>
            <w:r>
              <w:rPr>
                <w:rFonts w:ascii="Garamond" w:hAnsi="Garamond"/>
              </w:rPr>
              <w:t>3/</w:t>
            </w:r>
            <w:r w:rsidR="00437BF0">
              <w:rPr>
                <w:rFonts w:ascii="Garamond" w:hAnsi="Garamond"/>
              </w:rPr>
              <w:t>14</w:t>
            </w:r>
          </w:p>
        </w:tc>
        <w:tc>
          <w:tcPr>
            <w:tcW w:w="2178" w:type="dxa"/>
            <w:shd w:val="clear" w:color="auto" w:fill="auto"/>
          </w:tcPr>
          <w:p w14:paraId="45D09131" w14:textId="78F45528" w:rsidR="00A32047" w:rsidRPr="00B45D87" w:rsidRDefault="00A32047" w:rsidP="009139D7">
            <w:pPr>
              <w:rPr>
                <w:rFonts w:ascii="Garamond" w:hAnsi="Garamond"/>
              </w:rPr>
            </w:pPr>
            <w:r w:rsidRPr="00B45D87">
              <w:rPr>
                <w:rFonts w:ascii="Garamond" w:hAnsi="Garamond"/>
              </w:rPr>
              <w:t xml:space="preserve">Foundations of U.S. Environmental Law &amp; Policy </w:t>
            </w:r>
          </w:p>
        </w:tc>
        <w:tc>
          <w:tcPr>
            <w:tcW w:w="4842" w:type="dxa"/>
            <w:shd w:val="clear" w:color="auto" w:fill="auto"/>
          </w:tcPr>
          <w:p w14:paraId="331DC289" w14:textId="77777777" w:rsidR="00A32047" w:rsidRDefault="00A32047" w:rsidP="009139D7">
            <w:pPr>
              <w:rPr>
                <w:rFonts w:ascii="Garamond" w:hAnsi="Garamond"/>
              </w:rPr>
            </w:pPr>
            <w:r w:rsidRPr="00B45D87">
              <w:rPr>
                <w:rFonts w:ascii="Garamond" w:hAnsi="Garamond"/>
              </w:rPr>
              <w:t>California Environmental Law: Overview of the Compliance Process</w:t>
            </w:r>
          </w:p>
          <w:p w14:paraId="156B77F7" w14:textId="77777777" w:rsidR="00A32047" w:rsidRDefault="00A32047" w:rsidP="009139D7">
            <w:pPr>
              <w:rPr>
                <w:rFonts w:ascii="Garamond" w:hAnsi="Garamond"/>
              </w:rPr>
            </w:pPr>
          </w:p>
          <w:p w14:paraId="17BCCC07" w14:textId="77777777" w:rsidR="00A32047" w:rsidRDefault="00437BF0" w:rsidP="00A32047">
            <w:pPr>
              <w:ind w:left="20" w:hanging="10"/>
              <w:rPr>
                <w:rStyle w:val="Hyperlink"/>
                <w:rFonts w:ascii="Garamond" w:hAnsi="Garamond"/>
              </w:rPr>
            </w:pPr>
            <w:hyperlink r:id="rId19" w:history="1">
              <w:r w:rsidR="00A32047" w:rsidRPr="00B45D87">
                <w:rPr>
                  <w:rStyle w:val="Hyperlink"/>
                  <w:rFonts w:ascii="Garamond" w:hAnsi="Garamond"/>
                </w:rPr>
                <w:t>http://thehill.com/policy/energy-environment/337863-court-dakota-access-pipeline-needs-further-environmental-review</w:t>
              </w:r>
            </w:hyperlink>
          </w:p>
          <w:p w14:paraId="40EBDC3E" w14:textId="77777777" w:rsidR="00A32047" w:rsidRPr="00B45D87" w:rsidRDefault="00A32047" w:rsidP="00A32047">
            <w:pPr>
              <w:ind w:left="20" w:hanging="10"/>
              <w:rPr>
                <w:rFonts w:ascii="Garamond" w:hAnsi="Garamond"/>
              </w:rPr>
            </w:pPr>
          </w:p>
          <w:p w14:paraId="336D1D1A" w14:textId="77777777" w:rsidR="00A32047" w:rsidRDefault="00437BF0" w:rsidP="00A32047">
            <w:pPr>
              <w:ind w:left="20" w:hanging="10"/>
              <w:rPr>
                <w:rStyle w:val="Hyperlink"/>
                <w:rFonts w:ascii="Garamond" w:hAnsi="Garamond"/>
              </w:rPr>
            </w:pPr>
            <w:hyperlink r:id="rId20" w:history="1">
              <w:r w:rsidR="00A32047" w:rsidRPr="00B45D87">
                <w:rPr>
                  <w:rStyle w:val="Hyperlink"/>
                  <w:rFonts w:ascii="Garamond" w:hAnsi="Garamond"/>
                </w:rPr>
                <w:t>https://www.theatlantic.com/science/archive/2</w:t>
              </w:r>
              <w:r w:rsidR="00A32047" w:rsidRPr="00B45D87">
                <w:rPr>
                  <w:rStyle w:val="Hyperlink"/>
                  <w:rFonts w:ascii="Garamond" w:hAnsi="Garamond"/>
                </w:rPr>
                <w:lastRenderedPageBreak/>
                <w:t>017/06/oil-is-flowing-through-the-dakota-access-pipeline/529707/</w:t>
              </w:r>
            </w:hyperlink>
          </w:p>
          <w:p w14:paraId="56E5FA4C" w14:textId="77777777" w:rsidR="00A32047" w:rsidRPr="00B45D87" w:rsidRDefault="00A32047" w:rsidP="00A32047">
            <w:pPr>
              <w:ind w:left="20" w:hanging="10"/>
              <w:rPr>
                <w:rFonts w:ascii="Garamond" w:hAnsi="Garamond"/>
              </w:rPr>
            </w:pPr>
          </w:p>
          <w:p w14:paraId="4D3D463A" w14:textId="025D1FAE" w:rsidR="00E3247F" w:rsidRPr="00E3247F" w:rsidRDefault="00E3247F" w:rsidP="00A32047">
            <w:pPr>
              <w:rPr>
                <w:rFonts w:ascii="Garamond" w:hAnsi="Garamond"/>
              </w:rPr>
            </w:pPr>
            <w:r w:rsidRPr="00E3247F">
              <w:rPr>
                <w:rFonts w:ascii="Garamond" w:hAnsi="Garamond"/>
              </w:rPr>
              <w:t xml:space="preserve">Standing Rock litigation updates: </w:t>
            </w:r>
            <w:hyperlink r:id="rId21" w:history="1">
              <w:r w:rsidRPr="00E3247F">
                <w:rPr>
                  <w:rStyle w:val="Hyperlink"/>
                  <w:rFonts w:ascii="Garamond" w:hAnsi="Garamond"/>
                </w:rPr>
                <w:t>https://earthjustice.org/features/faq-standing-rock-litigation</w:t>
              </w:r>
            </w:hyperlink>
          </w:p>
          <w:p w14:paraId="4994F89A" w14:textId="77777777" w:rsidR="00E3247F" w:rsidRPr="00E3247F" w:rsidRDefault="00E3247F" w:rsidP="00A32047">
            <w:pPr>
              <w:rPr>
                <w:rFonts w:ascii="Garamond" w:hAnsi="Garamond"/>
              </w:rPr>
            </w:pPr>
          </w:p>
          <w:p w14:paraId="4FC01EF5" w14:textId="0532F61C" w:rsidR="00A32047" w:rsidRPr="00E3247F" w:rsidRDefault="00E3247F" w:rsidP="00A32047">
            <w:pPr>
              <w:rPr>
                <w:rStyle w:val="Hyperlink"/>
                <w:rFonts w:ascii="Garamond" w:hAnsi="Garamond"/>
              </w:rPr>
            </w:pPr>
            <w:r w:rsidRPr="00E3247F">
              <w:rPr>
                <w:rFonts w:ascii="Garamond" w:hAnsi="Garamond"/>
              </w:rPr>
              <w:t xml:space="preserve">Environmental Assessment prepared for Dakota Access Pipeline: </w:t>
            </w:r>
            <w:hyperlink r:id="rId22" w:history="1">
              <w:r w:rsidR="00A32047" w:rsidRPr="00E3247F">
                <w:rPr>
                  <w:rStyle w:val="Hyperlink"/>
                  <w:rFonts w:ascii="Garamond" w:hAnsi="Garamond"/>
                </w:rPr>
                <w:t>http://cdm16021.contentdm.oclc.org/cdm/ref/collection/p16021coll7/id/2427</w:t>
              </w:r>
            </w:hyperlink>
          </w:p>
          <w:p w14:paraId="6D5EDB91" w14:textId="7CB0604D" w:rsidR="00A32047" w:rsidRPr="00B45D87" w:rsidRDefault="00A32047" w:rsidP="00A32047">
            <w:pPr>
              <w:rPr>
                <w:rFonts w:ascii="Garamond" w:hAnsi="Garamond"/>
              </w:rPr>
            </w:pPr>
          </w:p>
        </w:tc>
        <w:tc>
          <w:tcPr>
            <w:tcW w:w="1890" w:type="dxa"/>
            <w:tcBorders>
              <w:right w:val="nil"/>
            </w:tcBorders>
            <w:shd w:val="clear" w:color="auto" w:fill="auto"/>
          </w:tcPr>
          <w:p w14:paraId="6B1A308D" w14:textId="76126503" w:rsidR="00A32047" w:rsidRDefault="00DE032A" w:rsidP="00A32047">
            <w:pPr>
              <w:rPr>
                <w:rFonts w:ascii="Garamond" w:hAnsi="Garamond"/>
                <w:i/>
              </w:rPr>
            </w:pPr>
            <w:r>
              <w:rPr>
                <w:rFonts w:ascii="Garamond" w:hAnsi="Garamond"/>
                <w:b/>
                <w:i/>
              </w:rPr>
              <w:lastRenderedPageBreak/>
              <w:t xml:space="preserve">Policy Brief </w:t>
            </w:r>
            <w:r w:rsidRPr="00B45D87">
              <w:rPr>
                <w:rFonts w:ascii="Garamond" w:hAnsi="Garamond"/>
                <w:b/>
                <w:i/>
              </w:rPr>
              <w:t>Assignment Due</w:t>
            </w:r>
          </w:p>
        </w:tc>
      </w:tr>
      <w:tr w:rsidR="00A32047" w:rsidRPr="00B45D87" w14:paraId="43077B1E" w14:textId="77777777" w:rsidTr="009139D7">
        <w:tc>
          <w:tcPr>
            <w:tcW w:w="828" w:type="dxa"/>
            <w:tcBorders>
              <w:left w:val="nil"/>
            </w:tcBorders>
          </w:tcPr>
          <w:p w14:paraId="3277A508" w14:textId="35F8DD42" w:rsidR="00A32047" w:rsidRDefault="00CD1F1E" w:rsidP="009139D7">
            <w:r>
              <w:lastRenderedPageBreak/>
              <w:t>8</w:t>
            </w:r>
          </w:p>
        </w:tc>
        <w:tc>
          <w:tcPr>
            <w:tcW w:w="810" w:type="dxa"/>
            <w:tcBorders>
              <w:left w:val="nil"/>
            </w:tcBorders>
            <w:shd w:val="clear" w:color="auto" w:fill="auto"/>
          </w:tcPr>
          <w:p w14:paraId="3302EDDD" w14:textId="216C3C8C" w:rsidR="00A32047" w:rsidRPr="00B45D87" w:rsidRDefault="00A32047" w:rsidP="009139D7">
            <w:pPr>
              <w:rPr>
                <w:rFonts w:ascii="Garamond" w:hAnsi="Garamond"/>
              </w:rPr>
            </w:pPr>
            <w:r>
              <w:rPr>
                <w:rFonts w:ascii="Garamond" w:hAnsi="Garamond"/>
              </w:rPr>
              <w:t>3/2</w:t>
            </w:r>
            <w:r w:rsidR="00437BF0">
              <w:rPr>
                <w:rFonts w:ascii="Garamond" w:hAnsi="Garamond"/>
              </w:rPr>
              <w:t>1</w:t>
            </w:r>
          </w:p>
        </w:tc>
        <w:tc>
          <w:tcPr>
            <w:tcW w:w="2178" w:type="dxa"/>
            <w:shd w:val="clear" w:color="auto" w:fill="auto"/>
          </w:tcPr>
          <w:p w14:paraId="126BF57B" w14:textId="188DF9DE" w:rsidR="00A32047" w:rsidRPr="00092067" w:rsidRDefault="00092067" w:rsidP="009139D7">
            <w:pPr>
              <w:rPr>
                <w:rFonts w:ascii="Garamond" w:hAnsi="Garamond"/>
              </w:rPr>
            </w:pPr>
            <w:r w:rsidRPr="00B45D87">
              <w:rPr>
                <w:rFonts w:ascii="Garamond" w:hAnsi="Garamond"/>
              </w:rPr>
              <w:t>The Environmental Consequences of Land Use Planning: What is a “Project”?</w:t>
            </w:r>
          </w:p>
        </w:tc>
        <w:tc>
          <w:tcPr>
            <w:tcW w:w="4842" w:type="dxa"/>
            <w:shd w:val="clear" w:color="auto" w:fill="auto"/>
          </w:tcPr>
          <w:p w14:paraId="7801AADF" w14:textId="77777777" w:rsidR="00092067" w:rsidRPr="00B45D87" w:rsidRDefault="00092067" w:rsidP="00092067">
            <w:pPr>
              <w:rPr>
                <w:rFonts w:ascii="Garamond" w:hAnsi="Garamond"/>
              </w:rPr>
            </w:pPr>
            <w:r w:rsidRPr="00B45D87">
              <w:rPr>
                <w:rFonts w:ascii="Garamond" w:hAnsi="Garamond"/>
              </w:rPr>
              <w:t xml:space="preserve">Governor’s Office of Planning and Research, </w:t>
            </w:r>
            <w:r w:rsidRPr="00B45D87">
              <w:rPr>
                <w:rFonts w:ascii="Garamond" w:hAnsi="Garamond"/>
                <w:i/>
              </w:rPr>
              <w:t>California Planning Guide: An Introduction to Planning in California</w:t>
            </w:r>
            <w:r w:rsidRPr="00B45D87">
              <w:rPr>
                <w:rFonts w:ascii="Garamond" w:hAnsi="Garamond"/>
              </w:rPr>
              <w:t>, December 2005.</w:t>
            </w:r>
          </w:p>
          <w:p w14:paraId="73052CE9" w14:textId="77777777" w:rsidR="00092067" w:rsidRDefault="00092067" w:rsidP="00092067">
            <w:pPr>
              <w:rPr>
                <w:rFonts w:ascii="Garamond" w:hAnsi="Garamond"/>
              </w:rPr>
            </w:pPr>
          </w:p>
          <w:p w14:paraId="2898E93F" w14:textId="77777777" w:rsidR="00092067" w:rsidRDefault="00092067" w:rsidP="00092067">
            <w:pPr>
              <w:rPr>
                <w:rFonts w:ascii="Garamond" w:hAnsi="Garamond"/>
              </w:rPr>
            </w:pPr>
            <w:r w:rsidRPr="00B45D87">
              <w:rPr>
                <w:rFonts w:ascii="Garamond" w:hAnsi="Garamond"/>
              </w:rPr>
              <w:t>Liam Dillon, “California lawmakers have tried for 50 years to fix the state’s housing crisis. Here’s why they’ve failed,” LA Times, June 29, 2017.</w:t>
            </w:r>
          </w:p>
          <w:p w14:paraId="0D38E072" w14:textId="77777777" w:rsidR="00092067" w:rsidRDefault="00092067" w:rsidP="00092067">
            <w:pPr>
              <w:rPr>
                <w:rFonts w:ascii="Garamond" w:hAnsi="Garamond"/>
              </w:rPr>
            </w:pPr>
          </w:p>
          <w:p w14:paraId="5A071EA0" w14:textId="77777777" w:rsidR="00092067" w:rsidRPr="00B45D87" w:rsidRDefault="00092067" w:rsidP="00092067">
            <w:pPr>
              <w:rPr>
                <w:rFonts w:ascii="Garamond" w:hAnsi="Garamond"/>
              </w:rPr>
            </w:pPr>
            <w:proofErr w:type="spellStart"/>
            <w:r>
              <w:rPr>
                <w:rFonts w:ascii="Garamond" w:hAnsi="Garamond"/>
              </w:rPr>
              <w:t>Herson</w:t>
            </w:r>
            <w:proofErr w:type="spellEnd"/>
            <w:r>
              <w:rPr>
                <w:rFonts w:ascii="Garamond" w:hAnsi="Garamond"/>
              </w:rPr>
              <w:t>, Chapter 3, Local Land Use Planning and Regulation.</w:t>
            </w:r>
          </w:p>
          <w:p w14:paraId="7C0AF667" w14:textId="5EDDA4A1" w:rsidR="00A32047" w:rsidRPr="00F64922" w:rsidRDefault="00A32047" w:rsidP="009139D7">
            <w:pPr>
              <w:rPr>
                <w:rFonts w:ascii="Garamond" w:hAnsi="Garamond"/>
                <w:b/>
              </w:rPr>
            </w:pPr>
          </w:p>
        </w:tc>
        <w:tc>
          <w:tcPr>
            <w:tcW w:w="1890" w:type="dxa"/>
            <w:tcBorders>
              <w:right w:val="nil"/>
            </w:tcBorders>
            <w:shd w:val="clear" w:color="auto" w:fill="auto"/>
          </w:tcPr>
          <w:p w14:paraId="3054DF4E" w14:textId="2CD5E773" w:rsidR="00A32047" w:rsidRPr="00B45D87" w:rsidRDefault="00A32047" w:rsidP="00A21F56">
            <w:pPr>
              <w:rPr>
                <w:rFonts w:ascii="Garamond" w:hAnsi="Garamond"/>
              </w:rPr>
            </w:pPr>
          </w:p>
        </w:tc>
      </w:tr>
      <w:tr w:rsidR="00A32047" w:rsidRPr="00B45D87" w14:paraId="1733DEF8" w14:textId="77777777" w:rsidTr="009139D7">
        <w:tc>
          <w:tcPr>
            <w:tcW w:w="828" w:type="dxa"/>
            <w:tcBorders>
              <w:left w:val="nil"/>
            </w:tcBorders>
          </w:tcPr>
          <w:p w14:paraId="110B0831" w14:textId="3C4C3525" w:rsidR="00A32047" w:rsidRDefault="00CD1F1E" w:rsidP="009139D7">
            <w:r>
              <w:t>9</w:t>
            </w:r>
          </w:p>
        </w:tc>
        <w:tc>
          <w:tcPr>
            <w:tcW w:w="810" w:type="dxa"/>
            <w:tcBorders>
              <w:left w:val="nil"/>
            </w:tcBorders>
            <w:shd w:val="clear" w:color="auto" w:fill="auto"/>
          </w:tcPr>
          <w:p w14:paraId="6F45EE8E" w14:textId="31AC1984" w:rsidR="00A32047" w:rsidRPr="00B45D87" w:rsidRDefault="00437BF0" w:rsidP="009139D7">
            <w:pPr>
              <w:rPr>
                <w:rFonts w:ascii="Garamond" w:hAnsi="Garamond"/>
              </w:rPr>
            </w:pPr>
            <w:r>
              <w:rPr>
                <w:rFonts w:ascii="Garamond" w:hAnsi="Garamond"/>
              </w:rPr>
              <w:t>3/28</w:t>
            </w:r>
          </w:p>
        </w:tc>
        <w:tc>
          <w:tcPr>
            <w:tcW w:w="2178" w:type="dxa"/>
            <w:shd w:val="clear" w:color="auto" w:fill="auto"/>
          </w:tcPr>
          <w:p w14:paraId="68DDA49C" w14:textId="601A0A56" w:rsidR="00A32047" w:rsidRPr="00B45D87" w:rsidRDefault="00AE4D32" w:rsidP="009139D7">
            <w:pPr>
              <w:rPr>
                <w:rFonts w:ascii="Garamond" w:hAnsi="Garamond"/>
              </w:rPr>
            </w:pPr>
            <w:r>
              <w:rPr>
                <w:rFonts w:ascii="Garamond" w:hAnsi="Garamond"/>
              </w:rPr>
              <w:t>NO CLASS</w:t>
            </w:r>
          </w:p>
        </w:tc>
        <w:tc>
          <w:tcPr>
            <w:tcW w:w="4842" w:type="dxa"/>
            <w:shd w:val="clear" w:color="auto" w:fill="auto"/>
          </w:tcPr>
          <w:p w14:paraId="1E62E64F" w14:textId="620B7868" w:rsidR="00A32047" w:rsidRPr="00B45D87" w:rsidRDefault="00AE4D32" w:rsidP="00437BF0">
            <w:pPr>
              <w:rPr>
                <w:rFonts w:ascii="Garamond" w:hAnsi="Garamond"/>
              </w:rPr>
            </w:pPr>
            <w:r>
              <w:rPr>
                <w:rFonts w:ascii="Garamond" w:hAnsi="Garamond"/>
              </w:rPr>
              <w:t>Spring Break 3/27-3/31</w:t>
            </w:r>
          </w:p>
        </w:tc>
        <w:tc>
          <w:tcPr>
            <w:tcW w:w="1890" w:type="dxa"/>
            <w:tcBorders>
              <w:right w:val="nil"/>
            </w:tcBorders>
            <w:shd w:val="clear" w:color="auto" w:fill="auto"/>
          </w:tcPr>
          <w:p w14:paraId="62CABFFB" w14:textId="5270EE2A" w:rsidR="00A32047" w:rsidRPr="00B45D87" w:rsidRDefault="00A32047" w:rsidP="009139D7">
            <w:pPr>
              <w:rPr>
                <w:rFonts w:ascii="Garamond" w:hAnsi="Garamond"/>
              </w:rPr>
            </w:pPr>
          </w:p>
        </w:tc>
      </w:tr>
      <w:tr w:rsidR="00AE4D32" w:rsidRPr="00B45D87" w14:paraId="52695F29" w14:textId="77777777" w:rsidTr="009139D7">
        <w:tc>
          <w:tcPr>
            <w:tcW w:w="828" w:type="dxa"/>
            <w:tcBorders>
              <w:left w:val="nil"/>
            </w:tcBorders>
          </w:tcPr>
          <w:p w14:paraId="47BB63FB" w14:textId="2F748914" w:rsidR="00AE4D32" w:rsidRDefault="00AE4D32" w:rsidP="009139D7">
            <w:r>
              <w:t>10</w:t>
            </w:r>
          </w:p>
        </w:tc>
        <w:tc>
          <w:tcPr>
            <w:tcW w:w="810" w:type="dxa"/>
            <w:tcBorders>
              <w:left w:val="nil"/>
            </w:tcBorders>
            <w:shd w:val="clear" w:color="auto" w:fill="auto"/>
          </w:tcPr>
          <w:p w14:paraId="7AF762A1" w14:textId="24BB8E4C" w:rsidR="00AE4D32" w:rsidRDefault="00AE4D32" w:rsidP="009139D7">
            <w:pPr>
              <w:rPr>
                <w:rFonts w:ascii="Garamond" w:hAnsi="Garamond"/>
              </w:rPr>
            </w:pPr>
            <w:r>
              <w:rPr>
                <w:rFonts w:ascii="Garamond" w:hAnsi="Garamond"/>
              </w:rPr>
              <w:t>4/4</w:t>
            </w:r>
          </w:p>
        </w:tc>
        <w:tc>
          <w:tcPr>
            <w:tcW w:w="2178" w:type="dxa"/>
            <w:shd w:val="clear" w:color="auto" w:fill="auto"/>
          </w:tcPr>
          <w:p w14:paraId="7F8FC181" w14:textId="45A960A2" w:rsidR="00AE4D32" w:rsidRPr="00B45D87" w:rsidRDefault="00AE4D32" w:rsidP="009139D7">
            <w:pPr>
              <w:rPr>
                <w:rFonts w:ascii="Garamond" w:hAnsi="Garamond"/>
              </w:rPr>
            </w:pPr>
            <w:r w:rsidRPr="00B45D87">
              <w:rPr>
                <w:rFonts w:ascii="Garamond" w:hAnsi="Garamond"/>
              </w:rPr>
              <w:t>California Environmental Law: Overview of the Compliance Process</w:t>
            </w:r>
            <w:r>
              <w:rPr>
                <w:rFonts w:ascii="Garamond" w:hAnsi="Garamond"/>
              </w:rPr>
              <w:t xml:space="preserve"> (Part 1)</w:t>
            </w:r>
          </w:p>
        </w:tc>
        <w:tc>
          <w:tcPr>
            <w:tcW w:w="4842" w:type="dxa"/>
            <w:shd w:val="clear" w:color="auto" w:fill="auto"/>
          </w:tcPr>
          <w:p w14:paraId="0DED0DBB" w14:textId="77777777" w:rsidR="00AE4D32" w:rsidRDefault="00AE4D32" w:rsidP="00FC5E62">
            <w:pPr>
              <w:rPr>
                <w:rFonts w:ascii="Garamond" w:hAnsi="Garamond"/>
              </w:rPr>
            </w:pPr>
            <w:r w:rsidRPr="0060232D">
              <w:rPr>
                <w:rFonts w:ascii="Garamond" w:hAnsi="Garamond"/>
              </w:rPr>
              <w:t xml:space="preserve">Terry </w:t>
            </w:r>
            <w:proofErr w:type="spellStart"/>
            <w:r w:rsidRPr="0060232D">
              <w:rPr>
                <w:rFonts w:ascii="Garamond" w:hAnsi="Garamond"/>
              </w:rPr>
              <w:t>Rivasplata</w:t>
            </w:r>
            <w:proofErr w:type="spellEnd"/>
            <w:r w:rsidRPr="0060232D">
              <w:rPr>
                <w:rFonts w:ascii="Garamond" w:hAnsi="Garamond"/>
              </w:rPr>
              <w:t xml:space="preserve"> and Greta Brownlow, </w:t>
            </w:r>
            <w:r w:rsidRPr="0060232D">
              <w:rPr>
                <w:rFonts w:ascii="Garamond" w:hAnsi="Garamond"/>
                <w:i/>
              </w:rPr>
              <w:t>Practical CEQA</w:t>
            </w:r>
            <w:r w:rsidRPr="0060232D">
              <w:rPr>
                <w:rFonts w:ascii="Garamond" w:hAnsi="Garamond"/>
              </w:rPr>
              <w:t>, Solano</w:t>
            </w:r>
            <w:r>
              <w:rPr>
                <w:rFonts w:ascii="Garamond" w:hAnsi="Garamond"/>
              </w:rPr>
              <w:t xml:space="preserve"> Press Books, 2020</w:t>
            </w:r>
            <w:r w:rsidRPr="0060232D">
              <w:rPr>
                <w:rFonts w:ascii="Garamond" w:hAnsi="Garamond"/>
              </w:rPr>
              <w:t>, Chapter</w:t>
            </w:r>
            <w:r>
              <w:rPr>
                <w:rFonts w:ascii="Garamond" w:hAnsi="Garamond"/>
              </w:rPr>
              <w:t>s</w:t>
            </w:r>
            <w:r w:rsidRPr="0060232D">
              <w:rPr>
                <w:rFonts w:ascii="Garamond" w:hAnsi="Garamond"/>
              </w:rPr>
              <w:t xml:space="preserve"> 1</w:t>
            </w:r>
            <w:r>
              <w:rPr>
                <w:rFonts w:ascii="Garamond" w:hAnsi="Garamond"/>
              </w:rPr>
              <w:t xml:space="preserve"> &amp; 3</w:t>
            </w:r>
          </w:p>
          <w:p w14:paraId="5A348178" w14:textId="77777777" w:rsidR="00AE4D32" w:rsidRDefault="00AE4D32" w:rsidP="00FC5E62">
            <w:pPr>
              <w:rPr>
                <w:rFonts w:ascii="Garamond" w:hAnsi="Garamond"/>
              </w:rPr>
            </w:pPr>
          </w:p>
          <w:p w14:paraId="2B57BDD3" w14:textId="77777777" w:rsidR="00AE4D32" w:rsidRDefault="00AE4D32" w:rsidP="00FC5E62">
            <w:pPr>
              <w:rPr>
                <w:rFonts w:ascii="Garamond" w:hAnsi="Garamond"/>
              </w:rPr>
            </w:pPr>
            <w:r w:rsidRPr="00B45D87">
              <w:rPr>
                <w:rFonts w:ascii="Garamond" w:hAnsi="Garamond"/>
              </w:rPr>
              <w:t>Liam Dillon, “A key reform of California’s environmental law hasn’t kept its promises.” LA Times, January 24, 2017</w:t>
            </w:r>
          </w:p>
          <w:p w14:paraId="48FF7E5B" w14:textId="77777777" w:rsidR="00AE4D32" w:rsidRPr="0060232D" w:rsidRDefault="00AE4D32" w:rsidP="00092067">
            <w:pPr>
              <w:rPr>
                <w:rFonts w:ascii="Garamond" w:hAnsi="Garamond"/>
              </w:rPr>
            </w:pPr>
          </w:p>
        </w:tc>
        <w:tc>
          <w:tcPr>
            <w:tcW w:w="1890" w:type="dxa"/>
            <w:tcBorders>
              <w:right w:val="nil"/>
            </w:tcBorders>
            <w:shd w:val="clear" w:color="auto" w:fill="auto"/>
          </w:tcPr>
          <w:p w14:paraId="0C9F32B7" w14:textId="77777777" w:rsidR="00AE4D32" w:rsidRPr="00B45D87" w:rsidRDefault="00AE4D32" w:rsidP="009139D7">
            <w:pPr>
              <w:rPr>
                <w:rFonts w:ascii="Garamond" w:hAnsi="Garamond"/>
              </w:rPr>
            </w:pPr>
          </w:p>
        </w:tc>
      </w:tr>
      <w:tr w:rsidR="00A32047" w:rsidRPr="00B45D87" w14:paraId="01D91893" w14:textId="77777777" w:rsidTr="00A32047">
        <w:tc>
          <w:tcPr>
            <w:tcW w:w="828" w:type="dxa"/>
            <w:tcBorders>
              <w:left w:val="nil"/>
              <w:bottom w:val="single" w:sz="6" w:space="0" w:color="000000"/>
            </w:tcBorders>
          </w:tcPr>
          <w:p w14:paraId="52469B43" w14:textId="70007B37" w:rsidR="00A32047" w:rsidRDefault="00A32047" w:rsidP="009139D7">
            <w:r>
              <w:t>1</w:t>
            </w:r>
            <w:r w:rsidR="00875B25">
              <w:t>1</w:t>
            </w:r>
          </w:p>
        </w:tc>
        <w:tc>
          <w:tcPr>
            <w:tcW w:w="810" w:type="dxa"/>
            <w:tcBorders>
              <w:left w:val="nil"/>
              <w:bottom w:val="single" w:sz="6" w:space="0" w:color="000000"/>
            </w:tcBorders>
            <w:shd w:val="clear" w:color="auto" w:fill="auto"/>
          </w:tcPr>
          <w:p w14:paraId="79BF4861" w14:textId="4A0679D8" w:rsidR="00A32047" w:rsidRDefault="00A32047" w:rsidP="009139D7">
            <w:pPr>
              <w:rPr>
                <w:rFonts w:ascii="Garamond" w:hAnsi="Garamond"/>
              </w:rPr>
            </w:pPr>
            <w:r>
              <w:rPr>
                <w:rFonts w:ascii="Garamond" w:hAnsi="Garamond"/>
              </w:rPr>
              <w:t>4/1</w:t>
            </w:r>
            <w:r w:rsidR="008F72C4">
              <w:rPr>
                <w:rFonts w:ascii="Garamond" w:hAnsi="Garamond"/>
              </w:rPr>
              <w:t>1</w:t>
            </w:r>
          </w:p>
        </w:tc>
        <w:tc>
          <w:tcPr>
            <w:tcW w:w="2178" w:type="dxa"/>
            <w:tcBorders>
              <w:bottom w:val="single" w:sz="6" w:space="0" w:color="000000"/>
            </w:tcBorders>
            <w:shd w:val="clear" w:color="auto" w:fill="auto"/>
          </w:tcPr>
          <w:p w14:paraId="5C22D81B" w14:textId="77777777" w:rsidR="00A32047" w:rsidRPr="00B45D87" w:rsidRDefault="00A32047" w:rsidP="00120675">
            <w:pPr>
              <w:rPr>
                <w:rFonts w:ascii="Garamond" w:hAnsi="Garamond"/>
              </w:rPr>
            </w:pPr>
            <w:r w:rsidRPr="00B45D87">
              <w:rPr>
                <w:rFonts w:ascii="Garamond" w:hAnsi="Garamond"/>
              </w:rPr>
              <w:t>CEQA Case</w:t>
            </w:r>
            <w:r>
              <w:rPr>
                <w:rFonts w:ascii="Garamond" w:hAnsi="Garamond"/>
              </w:rPr>
              <w:t xml:space="preserve"> L</w:t>
            </w:r>
            <w:r w:rsidRPr="00B45D87">
              <w:rPr>
                <w:rFonts w:ascii="Garamond" w:hAnsi="Garamond"/>
              </w:rPr>
              <w:t>aw</w:t>
            </w:r>
          </w:p>
          <w:p w14:paraId="3A48B8C9" w14:textId="0A01B3C7" w:rsidR="00A32047" w:rsidRPr="00B45D87" w:rsidRDefault="00A32047" w:rsidP="009139D7">
            <w:pPr>
              <w:rPr>
                <w:rFonts w:ascii="Garamond" w:hAnsi="Garamond"/>
              </w:rPr>
            </w:pPr>
          </w:p>
        </w:tc>
        <w:tc>
          <w:tcPr>
            <w:tcW w:w="4842" w:type="dxa"/>
            <w:tcBorders>
              <w:bottom w:val="single" w:sz="6" w:space="0" w:color="000000"/>
            </w:tcBorders>
            <w:shd w:val="clear" w:color="auto" w:fill="auto"/>
          </w:tcPr>
          <w:p w14:paraId="3FC95A5A" w14:textId="77777777" w:rsidR="00A32047" w:rsidRPr="00B45D87" w:rsidRDefault="00A32047" w:rsidP="00120675">
            <w:pPr>
              <w:ind w:left="10" w:hanging="10"/>
              <w:rPr>
                <w:rFonts w:ascii="Garamond" w:hAnsi="Garamond"/>
              </w:rPr>
            </w:pPr>
            <w:r w:rsidRPr="007146BB">
              <w:rPr>
                <w:rFonts w:ascii="Garamond" w:hAnsi="Garamond"/>
              </w:rPr>
              <w:t xml:space="preserve">Ronald E. Bass, Kenneth M. Bogdan, Terry Rivasplata, </w:t>
            </w:r>
            <w:r w:rsidRPr="007146BB">
              <w:rPr>
                <w:rFonts w:ascii="Garamond" w:hAnsi="Garamond"/>
                <w:i/>
              </w:rPr>
              <w:t>CEQA Deskbook</w:t>
            </w:r>
            <w:r w:rsidRPr="007146BB">
              <w:rPr>
                <w:rFonts w:ascii="Garamond" w:hAnsi="Garamond"/>
              </w:rPr>
              <w:t>, Solano Press Books, 2012, Chapter 10</w:t>
            </w:r>
          </w:p>
          <w:p w14:paraId="2A9C00AB" w14:textId="77777777" w:rsidR="00A32047" w:rsidRDefault="00A32047" w:rsidP="00120675">
            <w:pPr>
              <w:rPr>
                <w:rFonts w:ascii="Garamond" w:hAnsi="Garamond"/>
              </w:rPr>
            </w:pPr>
          </w:p>
          <w:p w14:paraId="3DD26F05" w14:textId="77777777" w:rsidR="00A32047" w:rsidRPr="00B45D87" w:rsidRDefault="00A32047" w:rsidP="00120675">
            <w:pPr>
              <w:rPr>
                <w:rFonts w:ascii="Garamond" w:hAnsi="Garamond"/>
              </w:rPr>
            </w:pPr>
            <w:r w:rsidRPr="00B45D87">
              <w:rPr>
                <w:rFonts w:ascii="Garamond" w:hAnsi="Garamond"/>
              </w:rPr>
              <w:t>Jennifer Hernandez, David Friedman, and Stephanie De Herrera, “In the Name of the Environment: Litigation Abuse Under CEQA,” Holland and Knight, August 2015.</w:t>
            </w:r>
            <w:r>
              <w:rPr>
                <w:rFonts w:ascii="Garamond" w:hAnsi="Garamond"/>
              </w:rPr>
              <w:t xml:space="preserve"> (</w:t>
            </w:r>
            <w:r w:rsidRPr="0085659F">
              <w:rPr>
                <w:rFonts w:ascii="Garamond" w:hAnsi="Garamond"/>
                <w:i/>
              </w:rPr>
              <w:t>subsequent follow-up on infill housing and CEQA lawsuits also posted</w:t>
            </w:r>
            <w:r>
              <w:rPr>
                <w:rFonts w:ascii="Garamond" w:hAnsi="Garamond"/>
              </w:rPr>
              <w:t>)</w:t>
            </w:r>
          </w:p>
          <w:p w14:paraId="4CF9F6EC" w14:textId="77777777" w:rsidR="00A32047" w:rsidRDefault="00A32047" w:rsidP="00120675">
            <w:pPr>
              <w:rPr>
                <w:rFonts w:ascii="Garamond" w:hAnsi="Garamond"/>
              </w:rPr>
            </w:pPr>
          </w:p>
          <w:p w14:paraId="2C8288FD" w14:textId="77777777" w:rsidR="00A32047" w:rsidRPr="00B45D87" w:rsidRDefault="00A32047" w:rsidP="00120675">
            <w:pPr>
              <w:rPr>
                <w:rFonts w:ascii="Garamond" w:hAnsi="Garamond"/>
                <w:szCs w:val="20"/>
              </w:rPr>
            </w:pPr>
            <w:r w:rsidRPr="00B45D87">
              <w:rPr>
                <w:rFonts w:ascii="Garamond" w:hAnsi="Garamond"/>
              </w:rPr>
              <w:t>Jennifer Hernandez, “CEQA: California Dreamin’ or California Nightmare,” foxandhoundsdaily.com, April 27, 2015. (</w:t>
            </w:r>
            <w:r w:rsidRPr="00B45D87">
              <w:rPr>
                <w:rFonts w:ascii="Garamond" w:hAnsi="Garamond"/>
                <w:szCs w:val="20"/>
              </w:rPr>
              <w:t>http://www.foxandhoundsdaily.com/2015/04/ceqa-california-dreamin-or-california-nightmare/)</w:t>
            </w:r>
          </w:p>
          <w:p w14:paraId="26CE0FCE" w14:textId="77777777" w:rsidR="00A32047" w:rsidRDefault="00A32047" w:rsidP="00120675">
            <w:pPr>
              <w:ind w:left="10" w:hanging="10"/>
              <w:rPr>
                <w:rFonts w:ascii="Garamond" w:hAnsi="Garamond"/>
              </w:rPr>
            </w:pPr>
          </w:p>
          <w:p w14:paraId="4A4106A9" w14:textId="77777777" w:rsidR="00A32047" w:rsidRDefault="00A32047" w:rsidP="00120675">
            <w:pPr>
              <w:ind w:left="10" w:hanging="10"/>
              <w:rPr>
                <w:rFonts w:ascii="Garamond" w:hAnsi="Garamond"/>
                <w:color w:val="0000FF"/>
                <w:szCs w:val="20"/>
                <w:u w:val="single"/>
              </w:rPr>
            </w:pPr>
            <w:r w:rsidRPr="00B45D87">
              <w:rPr>
                <w:rFonts w:ascii="Garamond" w:hAnsi="Garamond"/>
              </w:rPr>
              <w:t xml:space="preserve">Josh Stephens, “CEQA: The Cause of All </w:t>
            </w:r>
            <w:r w:rsidRPr="00B45D87">
              <w:rPr>
                <w:rFonts w:ascii="Garamond" w:hAnsi="Garamond"/>
              </w:rPr>
              <w:lastRenderedPageBreak/>
              <w:t>Problems in California,” California Planning and Development Report, March 23, 2015. (</w:t>
            </w:r>
            <w:hyperlink r:id="rId23" w:history="1">
              <w:r w:rsidRPr="00B45D87">
                <w:rPr>
                  <w:rStyle w:val="Hyperlink"/>
                  <w:rFonts w:ascii="Garamond" w:hAnsi="Garamond"/>
                  <w:szCs w:val="20"/>
                </w:rPr>
                <w:t>https://www.cp-dr.com/node/</w:t>
              </w:r>
            </w:hyperlink>
            <w:r w:rsidRPr="00B45D87">
              <w:rPr>
                <w:rFonts w:ascii="Garamond" w:hAnsi="Garamond"/>
                <w:color w:val="0000FF"/>
                <w:szCs w:val="20"/>
                <w:u w:val="single"/>
              </w:rPr>
              <w:t>)</w:t>
            </w:r>
          </w:p>
          <w:p w14:paraId="3BA95D68" w14:textId="77777777" w:rsidR="00A32047" w:rsidRDefault="00A32047" w:rsidP="00120675">
            <w:pPr>
              <w:ind w:left="10" w:hanging="10"/>
              <w:rPr>
                <w:rFonts w:ascii="Garamond" w:hAnsi="Garamond"/>
                <w:color w:val="0000FF"/>
                <w:szCs w:val="20"/>
                <w:u w:val="single"/>
              </w:rPr>
            </w:pPr>
          </w:p>
          <w:p w14:paraId="6B713AB7" w14:textId="77777777" w:rsidR="00A32047" w:rsidRPr="00B477A1" w:rsidRDefault="00A32047" w:rsidP="00120675">
            <w:pPr>
              <w:ind w:left="10" w:hanging="10"/>
              <w:rPr>
                <w:rFonts w:ascii="Garamond" w:hAnsi="Garamond"/>
                <w:szCs w:val="20"/>
              </w:rPr>
            </w:pPr>
            <w:r w:rsidRPr="00B477A1">
              <w:rPr>
                <w:rFonts w:ascii="Garamond" w:hAnsi="Garamond"/>
                <w:szCs w:val="20"/>
              </w:rPr>
              <w:t>Arthur Coons, Standing Against Environmental Injustice: Some Thoughts On Facing The Need For CEQA Litigation Reform</w:t>
            </w:r>
          </w:p>
          <w:p w14:paraId="71E679CF" w14:textId="77777777" w:rsidR="00A32047" w:rsidRDefault="00437BF0" w:rsidP="00120675">
            <w:pPr>
              <w:rPr>
                <w:rFonts w:eastAsia="Times New Roman"/>
              </w:rPr>
            </w:pPr>
            <w:hyperlink r:id="rId24" w:history="1">
              <w:r w:rsidR="00A32047">
                <w:rPr>
                  <w:rStyle w:val="Hyperlink"/>
                  <w:rFonts w:eastAsia="Times New Roman"/>
                </w:rPr>
                <w:t>https://www.ceqadevelopments.com/2017/07/18/2699/</w:t>
              </w:r>
            </w:hyperlink>
          </w:p>
          <w:p w14:paraId="12E5C120" w14:textId="293FA74B" w:rsidR="00A32047" w:rsidRPr="00B45D87" w:rsidRDefault="00A32047" w:rsidP="00F92D00">
            <w:pPr>
              <w:rPr>
                <w:rFonts w:ascii="Garamond" w:hAnsi="Garamond"/>
              </w:rPr>
            </w:pPr>
          </w:p>
        </w:tc>
        <w:tc>
          <w:tcPr>
            <w:tcW w:w="1890" w:type="dxa"/>
            <w:tcBorders>
              <w:bottom w:val="single" w:sz="6" w:space="0" w:color="000000"/>
              <w:right w:val="nil"/>
            </w:tcBorders>
            <w:shd w:val="clear" w:color="auto" w:fill="auto"/>
          </w:tcPr>
          <w:p w14:paraId="132EB4C1" w14:textId="7463BDCB" w:rsidR="00A32047" w:rsidRPr="00B45D87" w:rsidRDefault="00A32047" w:rsidP="009139D7">
            <w:pPr>
              <w:rPr>
                <w:rFonts w:ascii="Garamond" w:hAnsi="Garamond"/>
                <w:i/>
              </w:rPr>
            </w:pPr>
          </w:p>
        </w:tc>
      </w:tr>
      <w:tr w:rsidR="00A32047" w:rsidRPr="00B45D87" w14:paraId="36690541" w14:textId="77777777" w:rsidTr="00A32047">
        <w:tc>
          <w:tcPr>
            <w:tcW w:w="10548" w:type="dxa"/>
            <w:gridSpan w:val="5"/>
            <w:tcBorders>
              <w:top w:val="single" w:sz="6" w:space="0" w:color="000000"/>
              <w:left w:val="nil"/>
              <w:bottom w:val="single" w:sz="6" w:space="0" w:color="000000"/>
              <w:right w:val="nil"/>
            </w:tcBorders>
          </w:tcPr>
          <w:p w14:paraId="2C182C52" w14:textId="0CE95F2A" w:rsidR="00A32047" w:rsidRPr="00B45D87" w:rsidRDefault="00A32047" w:rsidP="009139D7">
            <w:pPr>
              <w:rPr>
                <w:rFonts w:ascii="Garamond" w:hAnsi="Garamond"/>
                <w:i/>
              </w:rPr>
            </w:pPr>
            <w:r w:rsidRPr="00057EFF">
              <w:rPr>
                <w:rFonts w:ascii="Garamond" w:hAnsi="Garamond"/>
                <w:b/>
              </w:rPr>
              <w:lastRenderedPageBreak/>
              <w:t>Environmental Justice</w:t>
            </w:r>
          </w:p>
        </w:tc>
      </w:tr>
      <w:tr w:rsidR="00A32047" w:rsidRPr="00B45D87" w14:paraId="330B6628" w14:textId="77777777" w:rsidTr="00A32047">
        <w:tc>
          <w:tcPr>
            <w:tcW w:w="828" w:type="dxa"/>
            <w:tcBorders>
              <w:top w:val="single" w:sz="6" w:space="0" w:color="000000"/>
              <w:left w:val="nil"/>
            </w:tcBorders>
          </w:tcPr>
          <w:p w14:paraId="352C0A5C" w14:textId="24E4E73A" w:rsidR="00A32047" w:rsidRDefault="00A32047" w:rsidP="009139D7">
            <w:r>
              <w:t>1</w:t>
            </w:r>
            <w:r w:rsidR="00875B25">
              <w:t>2</w:t>
            </w:r>
          </w:p>
        </w:tc>
        <w:tc>
          <w:tcPr>
            <w:tcW w:w="810" w:type="dxa"/>
            <w:tcBorders>
              <w:top w:val="single" w:sz="6" w:space="0" w:color="000000"/>
              <w:left w:val="nil"/>
            </w:tcBorders>
            <w:shd w:val="clear" w:color="auto" w:fill="auto"/>
          </w:tcPr>
          <w:p w14:paraId="7596487B" w14:textId="28044AC8" w:rsidR="00A32047" w:rsidRPr="00B45D87" w:rsidRDefault="008F72C4" w:rsidP="009139D7">
            <w:pPr>
              <w:rPr>
                <w:rFonts w:ascii="Garamond" w:hAnsi="Garamond"/>
              </w:rPr>
            </w:pPr>
            <w:r>
              <w:rPr>
                <w:rFonts w:ascii="Garamond" w:hAnsi="Garamond"/>
              </w:rPr>
              <w:t>4/18</w:t>
            </w:r>
          </w:p>
        </w:tc>
        <w:tc>
          <w:tcPr>
            <w:tcW w:w="2178" w:type="dxa"/>
            <w:tcBorders>
              <w:top w:val="single" w:sz="6" w:space="0" w:color="000000"/>
            </w:tcBorders>
            <w:shd w:val="clear" w:color="auto" w:fill="auto"/>
          </w:tcPr>
          <w:p w14:paraId="21678774" w14:textId="627916E2" w:rsidR="00A32047" w:rsidRPr="00F92D00" w:rsidRDefault="00A32047" w:rsidP="007961AE">
            <w:pPr>
              <w:rPr>
                <w:rFonts w:ascii="Garamond" w:hAnsi="Garamond"/>
              </w:rPr>
            </w:pPr>
            <w:r>
              <w:rPr>
                <w:rFonts w:ascii="Garamond" w:hAnsi="Garamond"/>
              </w:rPr>
              <w:t xml:space="preserve">Intro to Environmental Justice (Guest Speaker: </w:t>
            </w:r>
            <w:r w:rsidR="007961AE">
              <w:rPr>
                <w:rFonts w:ascii="Garamond" w:hAnsi="Garamond"/>
              </w:rPr>
              <w:t>TBD</w:t>
            </w:r>
            <w:r>
              <w:rPr>
                <w:rFonts w:ascii="Garamond" w:hAnsi="Garamond"/>
              </w:rPr>
              <w:t>)</w:t>
            </w:r>
          </w:p>
        </w:tc>
        <w:tc>
          <w:tcPr>
            <w:tcW w:w="4842" w:type="dxa"/>
            <w:tcBorders>
              <w:top w:val="single" w:sz="6" w:space="0" w:color="000000"/>
            </w:tcBorders>
            <w:shd w:val="clear" w:color="auto" w:fill="auto"/>
          </w:tcPr>
          <w:p w14:paraId="343F0827" w14:textId="77777777" w:rsidR="00A32047" w:rsidRPr="00B45D87" w:rsidRDefault="00A32047" w:rsidP="00120675">
            <w:pPr>
              <w:rPr>
                <w:rFonts w:ascii="Garamond" w:hAnsi="Garamond"/>
              </w:rPr>
            </w:pPr>
            <w:r w:rsidRPr="00B45D87">
              <w:rPr>
                <w:rFonts w:ascii="Garamond" w:hAnsi="Garamond"/>
              </w:rPr>
              <w:t xml:space="preserve">Robert D. Bullard and Glenn S. Johnson, “Environmental Justice: Grassroots Activism and Its Impact on Public Policy Decision Making,” </w:t>
            </w:r>
            <w:r w:rsidRPr="00B45D87">
              <w:rPr>
                <w:rFonts w:ascii="Garamond" w:hAnsi="Garamond"/>
                <w:i/>
              </w:rPr>
              <w:t>Journal of Social Issues, Vol. 56, No. 3, 2000, pp. 555-578</w:t>
            </w:r>
            <w:r w:rsidRPr="00B45D87">
              <w:rPr>
                <w:rFonts w:ascii="Garamond" w:hAnsi="Garamond"/>
              </w:rPr>
              <w:t>.</w:t>
            </w:r>
          </w:p>
          <w:p w14:paraId="71288566" w14:textId="77777777" w:rsidR="00A32047" w:rsidRDefault="00A32047" w:rsidP="00120675">
            <w:pPr>
              <w:rPr>
                <w:rFonts w:ascii="Garamond" w:hAnsi="Garamond"/>
              </w:rPr>
            </w:pPr>
          </w:p>
          <w:p w14:paraId="3ABA1216" w14:textId="77777777" w:rsidR="00A32047" w:rsidRDefault="00A32047" w:rsidP="0085659F">
            <w:pPr>
              <w:rPr>
                <w:rFonts w:ascii="Garamond" w:hAnsi="Garamond"/>
              </w:rPr>
            </w:pPr>
            <w:r w:rsidRPr="00B45D87">
              <w:rPr>
                <w:rFonts w:ascii="Garamond" w:hAnsi="Garamond"/>
              </w:rPr>
              <w:t>Office of the Attorney General – Environmental Justice, “Environmental Justice at the Local and Regional Level: Legal Background,” May 8, 2012.</w:t>
            </w:r>
          </w:p>
          <w:p w14:paraId="6DF3499C" w14:textId="77777777" w:rsidR="006F0B19" w:rsidRDefault="006F0B19" w:rsidP="0085659F">
            <w:pPr>
              <w:rPr>
                <w:rFonts w:ascii="Garamond" w:hAnsi="Garamond"/>
              </w:rPr>
            </w:pPr>
          </w:p>
          <w:p w14:paraId="295BE99F" w14:textId="47D893EF" w:rsidR="006F0B19" w:rsidRDefault="006F0B19" w:rsidP="0085659F">
            <w:pPr>
              <w:rPr>
                <w:rFonts w:ascii="Garamond" w:hAnsi="Garamond"/>
              </w:rPr>
            </w:pPr>
            <w:r>
              <w:rPr>
                <w:rFonts w:ascii="Garamond" w:hAnsi="Garamond"/>
              </w:rPr>
              <w:t xml:space="preserve">Borunda, Alejandra, </w:t>
            </w:r>
            <w:r>
              <w:rPr>
                <w:rFonts w:ascii="Garamond" w:hAnsi="Garamond"/>
                <w:i/>
              </w:rPr>
              <w:t>The origins of environmental j</w:t>
            </w:r>
            <w:r w:rsidRPr="006F0B19">
              <w:rPr>
                <w:rFonts w:ascii="Garamond" w:hAnsi="Garamond"/>
                <w:i/>
              </w:rPr>
              <w:t>ustice</w:t>
            </w:r>
            <w:r>
              <w:rPr>
                <w:rFonts w:ascii="Garamond" w:hAnsi="Garamond"/>
                <w:i/>
              </w:rPr>
              <w:t xml:space="preserve"> - and why it’s finally getting the attention it deserves,” </w:t>
            </w:r>
            <w:r w:rsidRPr="006F0B19">
              <w:rPr>
                <w:rFonts w:ascii="Garamond" w:hAnsi="Garamond"/>
              </w:rPr>
              <w:t>National Geographic</w:t>
            </w:r>
            <w:r>
              <w:rPr>
                <w:rFonts w:ascii="Garamond" w:hAnsi="Garamond"/>
              </w:rPr>
              <w:t>, February 24, 2021.</w:t>
            </w:r>
          </w:p>
          <w:p w14:paraId="1BC42EDB" w14:textId="3A9293F7" w:rsidR="00DE032A" w:rsidRPr="0085659F" w:rsidRDefault="00DE032A" w:rsidP="0085659F">
            <w:pPr>
              <w:rPr>
                <w:rFonts w:ascii="Garamond" w:hAnsi="Garamond"/>
              </w:rPr>
            </w:pPr>
          </w:p>
        </w:tc>
        <w:tc>
          <w:tcPr>
            <w:tcW w:w="1890" w:type="dxa"/>
            <w:tcBorders>
              <w:top w:val="single" w:sz="6" w:space="0" w:color="000000"/>
              <w:right w:val="nil"/>
            </w:tcBorders>
            <w:shd w:val="clear" w:color="auto" w:fill="auto"/>
          </w:tcPr>
          <w:p w14:paraId="5046467F" w14:textId="565974C4" w:rsidR="00A32047" w:rsidRPr="00B45D87" w:rsidRDefault="00FC5E62" w:rsidP="009139D7">
            <w:pPr>
              <w:rPr>
                <w:rFonts w:ascii="Garamond" w:hAnsi="Garamond"/>
                <w:i/>
              </w:rPr>
            </w:pPr>
            <w:r w:rsidRPr="00B45D87">
              <w:rPr>
                <w:rFonts w:ascii="Garamond" w:hAnsi="Garamond"/>
                <w:b/>
                <w:i/>
              </w:rPr>
              <w:t>CEQA Case Summary Due</w:t>
            </w:r>
          </w:p>
        </w:tc>
      </w:tr>
      <w:tr w:rsidR="00A32047" w:rsidRPr="00B45D87" w14:paraId="48A1CB29" w14:textId="77777777" w:rsidTr="009139D7">
        <w:tc>
          <w:tcPr>
            <w:tcW w:w="828" w:type="dxa"/>
            <w:tcBorders>
              <w:left w:val="nil"/>
            </w:tcBorders>
          </w:tcPr>
          <w:p w14:paraId="5606CD0E" w14:textId="6F3151F3" w:rsidR="00A32047" w:rsidRDefault="00A32047" w:rsidP="009139D7">
            <w:r>
              <w:t>1</w:t>
            </w:r>
            <w:r w:rsidR="00875B25">
              <w:t>3</w:t>
            </w:r>
          </w:p>
        </w:tc>
        <w:tc>
          <w:tcPr>
            <w:tcW w:w="810" w:type="dxa"/>
            <w:tcBorders>
              <w:left w:val="nil"/>
            </w:tcBorders>
            <w:shd w:val="clear" w:color="auto" w:fill="auto"/>
          </w:tcPr>
          <w:p w14:paraId="5DF57D62" w14:textId="3C349356" w:rsidR="00A32047" w:rsidRDefault="008F72C4" w:rsidP="009139D7">
            <w:pPr>
              <w:rPr>
                <w:rFonts w:ascii="Garamond" w:hAnsi="Garamond"/>
              </w:rPr>
            </w:pPr>
            <w:r>
              <w:rPr>
                <w:rFonts w:ascii="Garamond" w:hAnsi="Garamond"/>
              </w:rPr>
              <w:t>4/25</w:t>
            </w:r>
          </w:p>
        </w:tc>
        <w:tc>
          <w:tcPr>
            <w:tcW w:w="2178" w:type="dxa"/>
            <w:shd w:val="clear" w:color="auto" w:fill="auto"/>
          </w:tcPr>
          <w:p w14:paraId="2DD7F6A3" w14:textId="7ABA9DFC" w:rsidR="00A32047" w:rsidRPr="00F542FD" w:rsidRDefault="00A32047" w:rsidP="009139D7">
            <w:pPr>
              <w:rPr>
                <w:rFonts w:ascii="Garamond" w:hAnsi="Garamond"/>
                <w:b/>
                <w:highlight w:val="yellow"/>
              </w:rPr>
            </w:pPr>
            <w:r w:rsidRPr="00F92D00">
              <w:rPr>
                <w:rFonts w:ascii="Garamond" w:hAnsi="Garamond"/>
              </w:rPr>
              <w:t>Environmental Justice and Impact Assessment</w:t>
            </w:r>
          </w:p>
        </w:tc>
        <w:tc>
          <w:tcPr>
            <w:tcW w:w="4842" w:type="dxa"/>
            <w:shd w:val="clear" w:color="auto" w:fill="auto"/>
          </w:tcPr>
          <w:p w14:paraId="475D1D24" w14:textId="77777777" w:rsidR="00A32047" w:rsidRDefault="00A32047" w:rsidP="00120675">
            <w:pPr>
              <w:rPr>
                <w:rFonts w:ascii="Garamond" w:hAnsi="Garamond"/>
              </w:rPr>
            </w:pPr>
            <w:r>
              <w:rPr>
                <w:rFonts w:ascii="Garamond" w:hAnsi="Garamond"/>
              </w:rPr>
              <w:t>Ramo, Allen, “Environmental Justice as an Essential Tool in Environmental Review Statutes – a New Look at Federal Policies and Civil Rights Protections and California’s Recent Initiatives” Golden Gate University School of Law Digital Commons, 2013.</w:t>
            </w:r>
          </w:p>
          <w:p w14:paraId="5A33BEB3" w14:textId="77777777" w:rsidR="00A32047" w:rsidRDefault="00A32047" w:rsidP="00120675">
            <w:pPr>
              <w:rPr>
                <w:rFonts w:ascii="Garamond" w:hAnsi="Garamond"/>
              </w:rPr>
            </w:pPr>
          </w:p>
          <w:p w14:paraId="0F54A259" w14:textId="77777777" w:rsidR="00A32047" w:rsidRDefault="00A32047" w:rsidP="009139D7">
            <w:pPr>
              <w:rPr>
                <w:rFonts w:ascii="Garamond" w:hAnsi="Garamond"/>
              </w:rPr>
            </w:pPr>
            <w:r>
              <w:rPr>
                <w:rFonts w:ascii="Garamond" w:hAnsi="Garamond"/>
              </w:rPr>
              <w:t xml:space="preserve">Federal Interagency Working Group on Environmental Justice and NEPA Committee, </w:t>
            </w:r>
            <w:r w:rsidRPr="0085659F">
              <w:rPr>
                <w:rFonts w:ascii="Garamond" w:hAnsi="Garamond"/>
                <w:i/>
              </w:rPr>
              <w:t xml:space="preserve">Community Guide to Environmental Justice </w:t>
            </w:r>
            <w:r>
              <w:rPr>
                <w:rFonts w:ascii="Garamond" w:hAnsi="Garamond"/>
                <w:i/>
              </w:rPr>
              <w:t>&amp;</w:t>
            </w:r>
            <w:r w:rsidRPr="0085659F">
              <w:rPr>
                <w:rFonts w:ascii="Garamond" w:hAnsi="Garamond"/>
                <w:i/>
              </w:rPr>
              <w:t xml:space="preserve"> NEPA Methods</w:t>
            </w:r>
            <w:r>
              <w:rPr>
                <w:rFonts w:ascii="Garamond" w:hAnsi="Garamond"/>
              </w:rPr>
              <w:t>, March 2019.</w:t>
            </w:r>
          </w:p>
          <w:p w14:paraId="751A3A22" w14:textId="77777777" w:rsidR="00AF305F" w:rsidRDefault="00AF305F" w:rsidP="009139D7">
            <w:pPr>
              <w:rPr>
                <w:rFonts w:ascii="Garamond" w:hAnsi="Garamond"/>
              </w:rPr>
            </w:pPr>
          </w:p>
          <w:p w14:paraId="0A35114F" w14:textId="133E1866" w:rsidR="00AF305F" w:rsidRPr="00AF305F" w:rsidRDefault="00AF305F" w:rsidP="009139D7">
            <w:pPr>
              <w:rPr>
                <w:rFonts w:ascii="Garamond" w:hAnsi="Garamond"/>
              </w:rPr>
            </w:pPr>
            <w:r>
              <w:rPr>
                <w:rFonts w:ascii="Garamond" w:hAnsi="Garamond"/>
              </w:rPr>
              <w:t xml:space="preserve">Ascent Environmental, </w:t>
            </w:r>
            <w:r w:rsidRPr="00AF305F">
              <w:rPr>
                <w:rFonts w:ascii="Garamond" w:hAnsi="Garamond"/>
                <w:i/>
              </w:rPr>
              <w:t>Environmental Justice in the California Environmental Quality Act: It</w:t>
            </w:r>
            <w:r>
              <w:rPr>
                <w:rFonts w:ascii="Garamond" w:hAnsi="Garamond"/>
                <w:i/>
              </w:rPr>
              <w:t xml:space="preserve"> I</w:t>
            </w:r>
            <w:r w:rsidRPr="00AF305F">
              <w:rPr>
                <w:rFonts w:ascii="Garamond" w:hAnsi="Garamond"/>
                <w:i/>
              </w:rPr>
              <w:t>s Here and It</w:t>
            </w:r>
            <w:r>
              <w:rPr>
                <w:rFonts w:ascii="Garamond" w:hAnsi="Garamond"/>
                <w:i/>
              </w:rPr>
              <w:t xml:space="preserve"> I</w:t>
            </w:r>
            <w:r w:rsidRPr="00AF305F">
              <w:rPr>
                <w:rFonts w:ascii="Garamond" w:hAnsi="Garamond"/>
                <w:i/>
              </w:rPr>
              <w:t>s Time</w:t>
            </w:r>
            <w:r>
              <w:rPr>
                <w:rFonts w:ascii="Garamond" w:hAnsi="Garamond"/>
              </w:rPr>
              <w:t xml:space="preserve">. </w:t>
            </w:r>
            <w:r w:rsidRPr="00AF305F">
              <w:rPr>
                <w:rFonts w:ascii="Garamond" w:hAnsi="Garamond"/>
              </w:rPr>
              <w:t>http://ascentenvironmental.com/files/2915/9908/4232/AscentShare_Environmental_Justice_Paper.pdf</w:t>
            </w:r>
          </w:p>
          <w:p w14:paraId="511DA37B" w14:textId="0E27C3F4" w:rsidR="00DE032A" w:rsidRPr="00F542FD" w:rsidRDefault="00DE032A" w:rsidP="009139D7">
            <w:pPr>
              <w:rPr>
                <w:rFonts w:ascii="Garamond" w:hAnsi="Garamond"/>
                <w:b/>
                <w:highlight w:val="yellow"/>
              </w:rPr>
            </w:pPr>
          </w:p>
        </w:tc>
        <w:tc>
          <w:tcPr>
            <w:tcW w:w="1890" w:type="dxa"/>
            <w:tcBorders>
              <w:right w:val="nil"/>
            </w:tcBorders>
            <w:shd w:val="clear" w:color="auto" w:fill="auto"/>
          </w:tcPr>
          <w:p w14:paraId="79157E78" w14:textId="6A0B80CF" w:rsidR="00A32047" w:rsidRPr="00B45D87" w:rsidRDefault="00A32047" w:rsidP="00A21F56">
            <w:pPr>
              <w:rPr>
                <w:rFonts w:ascii="Garamond" w:hAnsi="Garamond"/>
                <w:i/>
              </w:rPr>
            </w:pPr>
          </w:p>
        </w:tc>
      </w:tr>
      <w:tr w:rsidR="00A32047" w:rsidRPr="00B45D87" w14:paraId="6DC92587" w14:textId="77777777" w:rsidTr="009139D7">
        <w:tc>
          <w:tcPr>
            <w:tcW w:w="828" w:type="dxa"/>
            <w:tcBorders>
              <w:left w:val="nil"/>
            </w:tcBorders>
          </w:tcPr>
          <w:p w14:paraId="575AD536" w14:textId="75AAEE91" w:rsidR="00A32047" w:rsidRDefault="00A32047" w:rsidP="009139D7">
            <w:r>
              <w:t>1</w:t>
            </w:r>
            <w:r w:rsidR="00875B25">
              <w:t>4</w:t>
            </w:r>
          </w:p>
        </w:tc>
        <w:tc>
          <w:tcPr>
            <w:tcW w:w="810" w:type="dxa"/>
            <w:tcBorders>
              <w:left w:val="nil"/>
            </w:tcBorders>
            <w:shd w:val="clear" w:color="auto" w:fill="auto"/>
          </w:tcPr>
          <w:p w14:paraId="52B259CC" w14:textId="6D296EB8" w:rsidR="00A32047" w:rsidRPr="00B45D87" w:rsidRDefault="00A32047" w:rsidP="009139D7">
            <w:pPr>
              <w:rPr>
                <w:rFonts w:ascii="Garamond" w:hAnsi="Garamond"/>
              </w:rPr>
            </w:pPr>
            <w:r>
              <w:rPr>
                <w:rFonts w:ascii="Garamond" w:hAnsi="Garamond"/>
              </w:rPr>
              <w:t>5/</w:t>
            </w:r>
            <w:r w:rsidR="008F72C4">
              <w:rPr>
                <w:rFonts w:ascii="Garamond" w:hAnsi="Garamond"/>
              </w:rPr>
              <w:t>2</w:t>
            </w:r>
          </w:p>
        </w:tc>
        <w:tc>
          <w:tcPr>
            <w:tcW w:w="2178" w:type="dxa"/>
            <w:shd w:val="clear" w:color="auto" w:fill="auto"/>
          </w:tcPr>
          <w:p w14:paraId="1F2BD781" w14:textId="1BE4CB55" w:rsidR="00A32047" w:rsidRPr="00B45D87" w:rsidRDefault="00A32047" w:rsidP="009966A5">
            <w:pPr>
              <w:tabs>
                <w:tab w:val="left" w:pos="0"/>
              </w:tabs>
              <w:rPr>
                <w:rFonts w:ascii="Garamond" w:hAnsi="Garamond"/>
              </w:rPr>
            </w:pPr>
            <w:r w:rsidRPr="00B45D87">
              <w:rPr>
                <w:rFonts w:ascii="Garamond" w:hAnsi="Garamond"/>
              </w:rPr>
              <w:t>Presentations</w:t>
            </w:r>
          </w:p>
        </w:tc>
        <w:tc>
          <w:tcPr>
            <w:tcW w:w="4842" w:type="dxa"/>
            <w:shd w:val="clear" w:color="auto" w:fill="auto"/>
          </w:tcPr>
          <w:p w14:paraId="6FF73505" w14:textId="1075DBF5" w:rsidR="00A32047" w:rsidRPr="00B45D87" w:rsidRDefault="00A32047" w:rsidP="009139D7">
            <w:pPr>
              <w:ind w:left="10" w:hanging="10"/>
              <w:rPr>
                <w:rFonts w:ascii="Garamond" w:hAnsi="Garamond"/>
                <w:highlight w:val="yellow"/>
              </w:rPr>
            </w:pPr>
            <w:r w:rsidRPr="00B45D87">
              <w:rPr>
                <w:rFonts w:ascii="Garamond" w:hAnsi="Garamond"/>
              </w:rPr>
              <w:t>Student Presentations on Final Project</w:t>
            </w:r>
          </w:p>
        </w:tc>
        <w:tc>
          <w:tcPr>
            <w:tcW w:w="1890" w:type="dxa"/>
            <w:tcBorders>
              <w:right w:val="nil"/>
            </w:tcBorders>
            <w:shd w:val="clear" w:color="auto" w:fill="auto"/>
          </w:tcPr>
          <w:p w14:paraId="79B9F3C1" w14:textId="549ED517" w:rsidR="00A32047" w:rsidRPr="00B45D87" w:rsidRDefault="00A32047" w:rsidP="009966A5">
            <w:pPr>
              <w:rPr>
                <w:rFonts w:ascii="Garamond" w:hAnsi="Garamond"/>
                <w:b/>
                <w:i/>
              </w:rPr>
            </w:pPr>
          </w:p>
        </w:tc>
      </w:tr>
      <w:tr w:rsidR="00A32047" w:rsidRPr="00B45D87" w14:paraId="6B5CD902" w14:textId="77777777" w:rsidTr="009139D7">
        <w:tc>
          <w:tcPr>
            <w:tcW w:w="828" w:type="dxa"/>
            <w:tcBorders>
              <w:left w:val="nil"/>
            </w:tcBorders>
          </w:tcPr>
          <w:p w14:paraId="58B193F8" w14:textId="45B79509" w:rsidR="00A32047" w:rsidRDefault="00A32047" w:rsidP="009139D7">
            <w:r>
              <w:t>1</w:t>
            </w:r>
            <w:r w:rsidR="00875B25">
              <w:t>5</w:t>
            </w:r>
          </w:p>
        </w:tc>
        <w:tc>
          <w:tcPr>
            <w:tcW w:w="810" w:type="dxa"/>
            <w:tcBorders>
              <w:left w:val="nil"/>
            </w:tcBorders>
            <w:shd w:val="clear" w:color="auto" w:fill="auto"/>
          </w:tcPr>
          <w:p w14:paraId="2F866889" w14:textId="26543A0C" w:rsidR="00A32047" w:rsidRPr="00B45D87" w:rsidRDefault="008F72C4" w:rsidP="009139D7">
            <w:pPr>
              <w:rPr>
                <w:rFonts w:ascii="Garamond" w:hAnsi="Garamond"/>
              </w:rPr>
            </w:pPr>
            <w:r>
              <w:rPr>
                <w:rFonts w:ascii="Garamond" w:hAnsi="Garamond"/>
              </w:rPr>
              <w:t>5/9</w:t>
            </w:r>
          </w:p>
        </w:tc>
        <w:tc>
          <w:tcPr>
            <w:tcW w:w="2178" w:type="dxa"/>
            <w:shd w:val="clear" w:color="auto" w:fill="auto"/>
          </w:tcPr>
          <w:p w14:paraId="526528A2" w14:textId="7C27F765" w:rsidR="00A32047" w:rsidRPr="00B77279" w:rsidRDefault="00A32047" w:rsidP="00B77279">
            <w:pPr>
              <w:rPr>
                <w:rFonts w:ascii="Garamond" w:hAnsi="Garamond"/>
              </w:rPr>
            </w:pPr>
            <w:r>
              <w:rPr>
                <w:rFonts w:ascii="Garamond" w:hAnsi="Garamond"/>
              </w:rPr>
              <w:t>Presentations</w:t>
            </w:r>
          </w:p>
        </w:tc>
        <w:tc>
          <w:tcPr>
            <w:tcW w:w="4842" w:type="dxa"/>
            <w:shd w:val="clear" w:color="auto" w:fill="auto"/>
          </w:tcPr>
          <w:p w14:paraId="0DD4B907" w14:textId="70F41989" w:rsidR="00A32047" w:rsidRPr="00B45D87" w:rsidRDefault="00A32047" w:rsidP="009139D7">
            <w:pPr>
              <w:rPr>
                <w:rFonts w:ascii="Garamond" w:hAnsi="Garamond"/>
              </w:rPr>
            </w:pPr>
            <w:r w:rsidRPr="00B45D87">
              <w:rPr>
                <w:rFonts w:ascii="Garamond" w:hAnsi="Garamond"/>
              </w:rPr>
              <w:t>Student presentations on Final Project continued</w:t>
            </w:r>
          </w:p>
        </w:tc>
        <w:tc>
          <w:tcPr>
            <w:tcW w:w="1890" w:type="dxa"/>
            <w:tcBorders>
              <w:right w:val="nil"/>
            </w:tcBorders>
            <w:shd w:val="clear" w:color="auto" w:fill="auto"/>
          </w:tcPr>
          <w:p w14:paraId="34CB03C8" w14:textId="152DE8EA" w:rsidR="00A32047" w:rsidRPr="00B45D87" w:rsidRDefault="00A32047" w:rsidP="009139D7">
            <w:pPr>
              <w:rPr>
                <w:rFonts w:ascii="Garamond" w:hAnsi="Garamond"/>
                <w:i/>
              </w:rPr>
            </w:pPr>
            <w:r w:rsidRPr="00B45D87">
              <w:rPr>
                <w:rFonts w:ascii="Garamond" w:hAnsi="Garamond"/>
                <w:b/>
                <w:i/>
              </w:rPr>
              <w:t>Final Paper Due</w:t>
            </w:r>
          </w:p>
        </w:tc>
      </w:tr>
      <w:tr w:rsidR="00A32047" w:rsidRPr="00B45D87" w14:paraId="70049267" w14:textId="77777777" w:rsidTr="00B77279">
        <w:tc>
          <w:tcPr>
            <w:tcW w:w="828" w:type="dxa"/>
            <w:tcBorders>
              <w:left w:val="nil"/>
            </w:tcBorders>
          </w:tcPr>
          <w:p w14:paraId="63FE1B42" w14:textId="58D419F4" w:rsidR="00A32047" w:rsidRDefault="00A32047" w:rsidP="009139D7"/>
        </w:tc>
        <w:tc>
          <w:tcPr>
            <w:tcW w:w="2988" w:type="dxa"/>
            <w:gridSpan w:val="2"/>
            <w:tcBorders>
              <w:left w:val="nil"/>
            </w:tcBorders>
            <w:shd w:val="clear" w:color="auto" w:fill="auto"/>
          </w:tcPr>
          <w:p w14:paraId="1786D637" w14:textId="5A8EB936" w:rsidR="00A32047" w:rsidRPr="00B77279" w:rsidRDefault="00A32047" w:rsidP="009139D7">
            <w:pPr>
              <w:rPr>
                <w:rFonts w:ascii="Garamond" w:hAnsi="Garamond"/>
                <w:b/>
              </w:rPr>
            </w:pPr>
            <w:r w:rsidRPr="00B77279">
              <w:rPr>
                <w:rFonts w:ascii="Garamond" w:hAnsi="Garamond"/>
                <w:b/>
              </w:rPr>
              <w:t>NO FINAL EXAM</w:t>
            </w:r>
          </w:p>
        </w:tc>
        <w:tc>
          <w:tcPr>
            <w:tcW w:w="4842" w:type="dxa"/>
            <w:shd w:val="clear" w:color="auto" w:fill="auto"/>
          </w:tcPr>
          <w:p w14:paraId="2AD4C6FC" w14:textId="46882B5B" w:rsidR="00A32047" w:rsidRPr="00B45D87" w:rsidRDefault="00A32047" w:rsidP="009139D7">
            <w:pPr>
              <w:rPr>
                <w:rFonts w:ascii="Garamond" w:hAnsi="Garamond"/>
              </w:rPr>
            </w:pPr>
          </w:p>
        </w:tc>
        <w:tc>
          <w:tcPr>
            <w:tcW w:w="1890" w:type="dxa"/>
            <w:tcBorders>
              <w:right w:val="nil"/>
            </w:tcBorders>
            <w:shd w:val="clear" w:color="auto" w:fill="auto"/>
          </w:tcPr>
          <w:p w14:paraId="3FE28491" w14:textId="45597D6F" w:rsidR="00A32047" w:rsidRPr="00B45D87" w:rsidRDefault="00A32047" w:rsidP="009139D7">
            <w:pPr>
              <w:rPr>
                <w:rFonts w:ascii="Garamond" w:hAnsi="Garamond"/>
                <w:i/>
              </w:rPr>
            </w:pPr>
          </w:p>
        </w:tc>
      </w:tr>
      <w:tr w:rsidR="00A32047" w:rsidRPr="00B45D87" w14:paraId="0FAF100E" w14:textId="77777777" w:rsidTr="009139D7">
        <w:trPr>
          <w:trHeight w:val="1299"/>
        </w:trPr>
        <w:tc>
          <w:tcPr>
            <w:tcW w:w="10548" w:type="dxa"/>
            <w:gridSpan w:val="5"/>
            <w:tcBorders>
              <w:top w:val="nil"/>
              <w:left w:val="nil"/>
              <w:bottom w:val="nil"/>
              <w:right w:val="nil"/>
            </w:tcBorders>
          </w:tcPr>
          <w:p w14:paraId="46E9BAC6" w14:textId="77777777" w:rsidR="00A32047" w:rsidRPr="00B45D87" w:rsidRDefault="00A32047" w:rsidP="009139D7">
            <w:pPr>
              <w:widowControl w:val="0"/>
              <w:tabs>
                <w:tab w:val="left" w:pos="0"/>
              </w:tabs>
              <w:ind w:left="180"/>
              <w:rPr>
                <w:rFonts w:ascii="Garamond" w:hAnsi="Garamond"/>
              </w:rPr>
            </w:pPr>
            <w:r w:rsidRPr="00B45D87">
              <w:rPr>
                <w:rFonts w:ascii="Garamond" w:hAnsi="Garamond"/>
                <w:sz w:val="22"/>
              </w:rPr>
              <w:lastRenderedPageBreak/>
              <w:t>*Please note that this is a tentative class schedule; topics may change or be rearranged based on class interests, guest lecturer availability, and the need to spend additional time on certain topics</w:t>
            </w:r>
          </w:p>
        </w:tc>
      </w:tr>
    </w:tbl>
    <w:p w14:paraId="7CC0F789" w14:textId="77777777" w:rsidR="007F629E" w:rsidRPr="009014B2" w:rsidRDefault="007F629E" w:rsidP="007F629E">
      <w:pPr>
        <w:pStyle w:val="BodyText"/>
        <w:rPr>
          <w:color w:val="0D0D0D" w:themeColor="text1" w:themeTint="F2"/>
        </w:rPr>
      </w:pPr>
    </w:p>
    <w:p w14:paraId="1673782A" w14:textId="77777777" w:rsidR="005B40C1" w:rsidRPr="00A4266F" w:rsidRDefault="005B40C1" w:rsidP="00B83B91">
      <w:pPr>
        <w:jc w:val="right"/>
      </w:pPr>
    </w:p>
    <w:sectPr w:rsidR="005B40C1" w:rsidRPr="00A4266F" w:rsidSect="00B92CBA">
      <w:footerReference w:type="default" r:id="rId25"/>
      <w:pgSz w:w="12240" w:h="15840"/>
      <w:pgMar w:top="720" w:right="720" w:bottom="9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6A7575" w15:done="0"/>
  <w15:commentEx w15:paraId="169F7A89" w15:done="0"/>
  <w15:commentEx w15:paraId="29385841" w15:done="0"/>
  <w15:commentEx w15:paraId="1C523952" w15:done="0"/>
  <w15:commentEx w15:paraId="43323D1E" w15:done="0"/>
  <w15:commentEx w15:paraId="7EA203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6A7575" w16cid:durableId="21C82856"/>
  <w16cid:commentId w16cid:paraId="169F7A89" w16cid:durableId="21C82A5C"/>
  <w16cid:commentId w16cid:paraId="29385841" w16cid:durableId="21C82CE1"/>
  <w16cid:commentId w16cid:paraId="1C523952" w16cid:durableId="21C82F3E"/>
  <w16cid:commentId w16cid:paraId="43323D1E" w16cid:durableId="21C830C0"/>
  <w16cid:commentId w16cid:paraId="7EA20378" w16cid:durableId="21C834B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E1670" w14:textId="77777777" w:rsidR="00FC5E62" w:rsidRDefault="00FC5E62">
      <w:r>
        <w:separator/>
      </w:r>
    </w:p>
  </w:endnote>
  <w:endnote w:type="continuationSeparator" w:id="0">
    <w:p w14:paraId="73D09034" w14:textId="77777777" w:rsidR="00FC5E62" w:rsidRDefault="00FC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新細明體">
    <w:charset w:val="51"/>
    <w:family w:val="auto"/>
    <w:pitch w:val="variable"/>
    <w:sig w:usb0="00000001" w:usb1="08080000" w:usb2="00000010" w:usb3="00000000" w:csb0="00100000" w:csb1="00000000"/>
  </w:font>
  <w:font w:name="Garamond">
    <w:panose1 w:val="02020404030301010803"/>
    <w:charset w:val="00"/>
    <w:family w:val="auto"/>
    <w:pitch w:val="variable"/>
    <w:sig w:usb0="00000003" w:usb1="00000000" w:usb2="00000000" w:usb3="00000000" w:csb0="00000001" w:csb1="00000000"/>
  </w:font>
  <w:font w:name="–bø«zÌ">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4FE2B" w14:textId="20C81F1B" w:rsidR="00FC5E62" w:rsidRDefault="00FC5E62" w:rsidP="00E22102">
    <w:pPr>
      <w:pStyle w:val="Footer"/>
      <w:tabs>
        <w:tab w:val="clear" w:pos="8640"/>
        <w:tab w:val="right" w:pos="8190"/>
      </w:tabs>
      <w:ind w:right="360"/>
    </w:pPr>
    <w:r>
      <w:t>Environmental Planning, URBP 240, Spring 2022</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26682A">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6682A">
      <w:rPr>
        <w:rStyle w:val="PageNumber"/>
        <w:noProof/>
      </w:rPr>
      <w:t>12</w:t>
    </w:r>
    <w:r>
      <w:rPr>
        <w:rStyle w:val="PageNumber"/>
      </w:rPr>
      <w:fldChar w:fldCharType="end"/>
    </w:r>
    <w:r>
      <w:t xml:space="preserve"> </w:t>
    </w:r>
    <w:r>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F1D4B" w14:textId="77777777" w:rsidR="00FC5E62" w:rsidRDefault="00FC5E62">
      <w:r>
        <w:separator/>
      </w:r>
    </w:p>
  </w:footnote>
  <w:footnote w:type="continuationSeparator" w:id="0">
    <w:p w14:paraId="5249802E" w14:textId="77777777" w:rsidR="00FC5E62" w:rsidRDefault="00FC5E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C635416"/>
    <w:multiLevelType w:val="hybridMultilevel"/>
    <w:tmpl w:val="08864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80C62"/>
    <w:multiLevelType w:val="hybridMultilevel"/>
    <w:tmpl w:val="A468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3DD3749"/>
    <w:multiLevelType w:val="hybridMultilevel"/>
    <w:tmpl w:val="58B2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25B4B"/>
    <w:multiLevelType w:val="hybridMultilevel"/>
    <w:tmpl w:val="3236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501DCC"/>
    <w:multiLevelType w:val="hybridMultilevel"/>
    <w:tmpl w:val="9312B42C"/>
    <w:lvl w:ilvl="0" w:tplc="04090005">
      <w:start w:val="1"/>
      <w:numFmt w:val="bullet"/>
      <w:lvlText w:val=""/>
      <w:lvlJc w:val="left"/>
      <w:pPr>
        <w:ind w:left="2434" w:hanging="360"/>
      </w:pPr>
      <w:rPr>
        <w:rFonts w:ascii="Wingdings" w:hAnsi="Wingdings"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17">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838AB"/>
    <w:multiLevelType w:val="hybridMultilevel"/>
    <w:tmpl w:val="7BB0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EC4132"/>
    <w:multiLevelType w:val="hybridMultilevel"/>
    <w:tmpl w:val="4C5CC706"/>
    <w:lvl w:ilvl="0" w:tplc="C136AA42">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332111"/>
    <w:multiLevelType w:val="hybridMultilevel"/>
    <w:tmpl w:val="95D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BB5C35"/>
    <w:multiLevelType w:val="hybridMultilevel"/>
    <w:tmpl w:val="F0FE045A"/>
    <w:lvl w:ilvl="0" w:tplc="38129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C45E01"/>
    <w:multiLevelType w:val="hybridMultilevel"/>
    <w:tmpl w:val="6BDE9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042533"/>
    <w:multiLevelType w:val="hybridMultilevel"/>
    <w:tmpl w:val="6D22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FC203D"/>
    <w:multiLevelType w:val="hybridMultilevel"/>
    <w:tmpl w:val="EFE0264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7">
    <w:nsid w:val="5F700CB0"/>
    <w:multiLevelType w:val="hybridMultilevel"/>
    <w:tmpl w:val="C452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52168C"/>
    <w:multiLevelType w:val="hybridMultilevel"/>
    <w:tmpl w:val="4F40B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C6C3E"/>
    <w:multiLevelType w:val="hybridMultilevel"/>
    <w:tmpl w:val="B21E9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5">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44"/>
  </w:num>
  <w:num w:numId="3">
    <w:abstractNumId w:val="22"/>
  </w:num>
  <w:num w:numId="4">
    <w:abstractNumId w:val="32"/>
  </w:num>
  <w:num w:numId="5">
    <w:abstractNumId w:val="0"/>
  </w:num>
  <w:num w:numId="6">
    <w:abstractNumId w:val="21"/>
  </w:num>
  <w:num w:numId="7">
    <w:abstractNumId w:val="14"/>
  </w:num>
  <w:num w:numId="8">
    <w:abstractNumId w:val="36"/>
  </w:num>
  <w:num w:numId="9">
    <w:abstractNumId w:val="3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
  </w:num>
  <w:num w:numId="14">
    <w:abstractNumId w:val="18"/>
  </w:num>
  <w:num w:numId="15">
    <w:abstractNumId w:val="46"/>
  </w:num>
  <w:num w:numId="16">
    <w:abstractNumId w:val="11"/>
  </w:num>
  <w:num w:numId="17">
    <w:abstractNumId w:val="29"/>
  </w:num>
  <w:num w:numId="18">
    <w:abstractNumId w:val="13"/>
  </w:num>
  <w:num w:numId="19">
    <w:abstractNumId w:val="12"/>
  </w:num>
  <w:num w:numId="20">
    <w:abstractNumId w:val="30"/>
  </w:num>
  <w:num w:numId="21">
    <w:abstractNumId w:val="43"/>
  </w:num>
  <w:num w:numId="22">
    <w:abstractNumId w:val="33"/>
  </w:num>
  <w:num w:numId="23">
    <w:abstractNumId w:val="15"/>
  </w:num>
  <w:num w:numId="24">
    <w:abstractNumId w:val="45"/>
  </w:num>
  <w:num w:numId="25">
    <w:abstractNumId w:val="25"/>
  </w:num>
  <w:num w:numId="26">
    <w:abstractNumId w:val="17"/>
  </w:num>
  <w:num w:numId="27">
    <w:abstractNumId w:val="5"/>
  </w:num>
  <w:num w:numId="28">
    <w:abstractNumId w:val="38"/>
  </w:num>
  <w:num w:numId="29">
    <w:abstractNumId w:val="41"/>
  </w:num>
  <w:num w:numId="30">
    <w:abstractNumId w:val="9"/>
  </w:num>
  <w:num w:numId="31">
    <w:abstractNumId w:val="2"/>
  </w:num>
  <w:num w:numId="32">
    <w:abstractNumId w:val="27"/>
  </w:num>
  <w:num w:numId="33">
    <w:abstractNumId w:val="6"/>
  </w:num>
  <w:num w:numId="34">
    <w:abstractNumId w:val="24"/>
  </w:num>
  <w:num w:numId="35">
    <w:abstractNumId w:val="31"/>
  </w:num>
  <w:num w:numId="36">
    <w:abstractNumId w:val="42"/>
  </w:num>
  <w:num w:numId="37">
    <w:abstractNumId w:val="40"/>
  </w:num>
  <w:num w:numId="38">
    <w:abstractNumId w:val="3"/>
  </w:num>
  <w:num w:numId="39">
    <w:abstractNumId w:val="28"/>
  </w:num>
  <w:num w:numId="40">
    <w:abstractNumId w:val="16"/>
  </w:num>
  <w:num w:numId="41">
    <w:abstractNumId w:val="4"/>
  </w:num>
  <w:num w:numId="42">
    <w:abstractNumId w:val="34"/>
  </w:num>
  <w:num w:numId="43">
    <w:abstractNumId w:val="7"/>
  </w:num>
  <w:num w:numId="44">
    <w:abstractNumId w:val="20"/>
  </w:num>
  <w:num w:numId="45">
    <w:abstractNumId w:val="37"/>
  </w:num>
  <w:num w:numId="46">
    <w:abstractNumId w:val="19"/>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xmi.Ramasubramanian04">
    <w15:presenceInfo w15:providerId="None" w15:userId="Laxmi.Ramasubramanian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57EFF"/>
    <w:rsid w:val="000633B4"/>
    <w:rsid w:val="00066F01"/>
    <w:rsid w:val="00067585"/>
    <w:rsid w:val="000722C6"/>
    <w:rsid w:val="00074D76"/>
    <w:rsid w:val="00076E0D"/>
    <w:rsid w:val="000774AF"/>
    <w:rsid w:val="0008293C"/>
    <w:rsid w:val="00084B7C"/>
    <w:rsid w:val="00086ED1"/>
    <w:rsid w:val="000903F4"/>
    <w:rsid w:val="00092067"/>
    <w:rsid w:val="00092867"/>
    <w:rsid w:val="00096A0B"/>
    <w:rsid w:val="000A13FF"/>
    <w:rsid w:val="000A15EB"/>
    <w:rsid w:val="000A1B43"/>
    <w:rsid w:val="000A2AD7"/>
    <w:rsid w:val="000A310F"/>
    <w:rsid w:val="000A313F"/>
    <w:rsid w:val="000A423A"/>
    <w:rsid w:val="000B2479"/>
    <w:rsid w:val="000B2E81"/>
    <w:rsid w:val="000B30E6"/>
    <w:rsid w:val="000B3204"/>
    <w:rsid w:val="000B5307"/>
    <w:rsid w:val="000B59ED"/>
    <w:rsid w:val="000C0AF5"/>
    <w:rsid w:val="000C0FC5"/>
    <w:rsid w:val="000C1ADA"/>
    <w:rsid w:val="000C40B8"/>
    <w:rsid w:val="000C43D7"/>
    <w:rsid w:val="000C75EA"/>
    <w:rsid w:val="000D6A65"/>
    <w:rsid w:val="000E0892"/>
    <w:rsid w:val="000E214D"/>
    <w:rsid w:val="000F32E4"/>
    <w:rsid w:val="000F3DC5"/>
    <w:rsid w:val="000F3F7D"/>
    <w:rsid w:val="000F54FF"/>
    <w:rsid w:val="000F6971"/>
    <w:rsid w:val="000F7567"/>
    <w:rsid w:val="00101272"/>
    <w:rsid w:val="0010351D"/>
    <w:rsid w:val="001046FF"/>
    <w:rsid w:val="00107519"/>
    <w:rsid w:val="001102F8"/>
    <w:rsid w:val="00111249"/>
    <w:rsid w:val="00112346"/>
    <w:rsid w:val="00113C04"/>
    <w:rsid w:val="00117D6D"/>
    <w:rsid w:val="00120675"/>
    <w:rsid w:val="0012511A"/>
    <w:rsid w:val="00130815"/>
    <w:rsid w:val="001308BD"/>
    <w:rsid w:val="00131489"/>
    <w:rsid w:val="001322BB"/>
    <w:rsid w:val="0013574C"/>
    <w:rsid w:val="00137C1D"/>
    <w:rsid w:val="001402D6"/>
    <w:rsid w:val="001416CE"/>
    <w:rsid w:val="00145568"/>
    <w:rsid w:val="00145CC6"/>
    <w:rsid w:val="00146B10"/>
    <w:rsid w:val="00150B19"/>
    <w:rsid w:val="0015398E"/>
    <w:rsid w:val="001554C3"/>
    <w:rsid w:val="00155D80"/>
    <w:rsid w:val="00157C5A"/>
    <w:rsid w:val="00163287"/>
    <w:rsid w:val="00164570"/>
    <w:rsid w:val="001653FF"/>
    <w:rsid w:val="00166546"/>
    <w:rsid w:val="001707AB"/>
    <w:rsid w:val="0017098E"/>
    <w:rsid w:val="00172A18"/>
    <w:rsid w:val="0017332A"/>
    <w:rsid w:val="00174548"/>
    <w:rsid w:val="00174590"/>
    <w:rsid w:val="00174AEA"/>
    <w:rsid w:val="00174F0C"/>
    <w:rsid w:val="00177BDD"/>
    <w:rsid w:val="0018184F"/>
    <w:rsid w:val="00181B3F"/>
    <w:rsid w:val="00186115"/>
    <w:rsid w:val="00191D8B"/>
    <w:rsid w:val="001A5851"/>
    <w:rsid w:val="001A6119"/>
    <w:rsid w:val="001B1BFC"/>
    <w:rsid w:val="001B3D42"/>
    <w:rsid w:val="001B4784"/>
    <w:rsid w:val="001B5884"/>
    <w:rsid w:val="001B598C"/>
    <w:rsid w:val="001B59E6"/>
    <w:rsid w:val="001B61EB"/>
    <w:rsid w:val="001C0A2B"/>
    <w:rsid w:val="001C69F7"/>
    <w:rsid w:val="001D3A6B"/>
    <w:rsid w:val="001D4D52"/>
    <w:rsid w:val="001E19DF"/>
    <w:rsid w:val="001E2FA7"/>
    <w:rsid w:val="001E5643"/>
    <w:rsid w:val="001F5F14"/>
    <w:rsid w:val="001F6230"/>
    <w:rsid w:val="001F722E"/>
    <w:rsid w:val="0020209C"/>
    <w:rsid w:val="002041FF"/>
    <w:rsid w:val="0020681E"/>
    <w:rsid w:val="00211CAF"/>
    <w:rsid w:val="00211CD9"/>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6682A"/>
    <w:rsid w:val="00276840"/>
    <w:rsid w:val="00282A22"/>
    <w:rsid w:val="00285E03"/>
    <w:rsid w:val="00287E5F"/>
    <w:rsid w:val="00290462"/>
    <w:rsid w:val="002944D7"/>
    <w:rsid w:val="002A1653"/>
    <w:rsid w:val="002A5E61"/>
    <w:rsid w:val="002B5122"/>
    <w:rsid w:val="002B6966"/>
    <w:rsid w:val="002B6DC5"/>
    <w:rsid w:val="002C4764"/>
    <w:rsid w:val="002D09BF"/>
    <w:rsid w:val="002D1995"/>
    <w:rsid w:val="002D4351"/>
    <w:rsid w:val="002D5514"/>
    <w:rsid w:val="002D579F"/>
    <w:rsid w:val="002E0DEE"/>
    <w:rsid w:val="002E43B8"/>
    <w:rsid w:val="002E5623"/>
    <w:rsid w:val="002E617F"/>
    <w:rsid w:val="002F4247"/>
    <w:rsid w:val="002F596B"/>
    <w:rsid w:val="002F5C2F"/>
    <w:rsid w:val="002F6AD3"/>
    <w:rsid w:val="00303509"/>
    <w:rsid w:val="00307F61"/>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384"/>
    <w:rsid w:val="00333EE5"/>
    <w:rsid w:val="003350FA"/>
    <w:rsid w:val="00340807"/>
    <w:rsid w:val="00342B0E"/>
    <w:rsid w:val="003447CB"/>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907B4"/>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5278"/>
    <w:rsid w:val="003E6FC1"/>
    <w:rsid w:val="003F1326"/>
    <w:rsid w:val="003F5641"/>
    <w:rsid w:val="004020DB"/>
    <w:rsid w:val="00402C42"/>
    <w:rsid w:val="004048DA"/>
    <w:rsid w:val="0040586A"/>
    <w:rsid w:val="00406417"/>
    <w:rsid w:val="0040642A"/>
    <w:rsid w:val="004065DA"/>
    <w:rsid w:val="004077AC"/>
    <w:rsid w:val="00410331"/>
    <w:rsid w:val="00411924"/>
    <w:rsid w:val="004140FE"/>
    <w:rsid w:val="004149E0"/>
    <w:rsid w:val="00414F15"/>
    <w:rsid w:val="00416F53"/>
    <w:rsid w:val="00417A7E"/>
    <w:rsid w:val="00430664"/>
    <w:rsid w:val="00432818"/>
    <w:rsid w:val="004371E5"/>
    <w:rsid w:val="00437BF0"/>
    <w:rsid w:val="00440A29"/>
    <w:rsid w:val="00444C92"/>
    <w:rsid w:val="00451E0C"/>
    <w:rsid w:val="00453564"/>
    <w:rsid w:val="00454284"/>
    <w:rsid w:val="00454487"/>
    <w:rsid w:val="0046095C"/>
    <w:rsid w:val="004620DD"/>
    <w:rsid w:val="00462305"/>
    <w:rsid w:val="0046273B"/>
    <w:rsid w:val="00467AA9"/>
    <w:rsid w:val="004735C2"/>
    <w:rsid w:val="00476B78"/>
    <w:rsid w:val="00480C3E"/>
    <w:rsid w:val="0048282F"/>
    <w:rsid w:val="00483C9D"/>
    <w:rsid w:val="00485049"/>
    <w:rsid w:val="00486353"/>
    <w:rsid w:val="00486C8C"/>
    <w:rsid w:val="00490D00"/>
    <w:rsid w:val="00491293"/>
    <w:rsid w:val="0049212C"/>
    <w:rsid w:val="00494EF0"/>
    <w:rsid w:val="00495FA1"/>
    <w:rsid w:val="00497460"/>
    <w:rsid w:val="004A0058"/>
    <w:rsid w:val="004A0E10"/>
    <w:rsid w:val="004A24CE"/>
    <w:rsid w:val="004A6CBC"/>
    <w:rsid w:val="004B613A"/>
    <w:rsid w:val="004B67ED"/>
    <w:rsid w:val="004B7B56"/>
    <w:rsid w:val="004C1016"/>
    <w:rsid w:val="004C10E5"/>
    <w:rsid w:val="004E0278"/>
    <w:rsid w:val="004E3F87"/>
    <w:rsid w:val="004E569F"/>
    <w:rsid w:val="004E6725"/>
    <w:rsid w:val="004F18AE"/>
    <w:rsid w:val="004F2812"/>
    <w:rsid w:val="004F2AA1"/>
    <w:rsid w:val="00503D1A"/>
    <w:rsid w:val="00506964"/>
    <w:rsid w:val="005105FF"/>
    <w:rsid w:val="00511C4C"/>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4522"/>
    <w:rsid w:val="0055547E"/>
    <w:rsid w:val="005563EC"/>
    <w:rsid w:val="005567CC"/>
    <w:rsid w:val="00557EF7"/>
    <w:rsid w:val="0056042F"/>
    <w:rsid w:val="00560D3A"/>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81A"/>
    <w:rsid w:val="005C4B3C"/>
    <w:rsid w:val="005C644C"/>
    <w:rsid w:val="005D10E6"/>
    <w:rsid w:val="005D3958"/>
    <w:rsid w:val="005D3DC3"/>
    <w:rsid w:val="005D7852"/>
    <w:rsid w:val="005E1085"/>
    <w:rsid w:val="005E2091"/>
    <w:rsid w:val="005E2301"/>
    <w:rsid w:val="005E590A"/>
    <w:rsid w:val="005F07FC"/>
    <w:rsid w:val="005F1C5B"/>
    <w:rsid w:val="005F6720"/>
    <w:rsid w:val="005F6E86"/>
    <w:rsid w:val="006001E3"/>
    <w:rsid w:val="0060232D"/>
    <w:rsid w:val="00602472"/>
    <w:rsid w:val="00607BFD"/>
    <w:rsid w:val="00613E19"/>
    <w:rsid w:val="00613FDC"/>
    <w:rsid w:val="00616D9E"/>
    <w:rsid w:val="00617187"/>
    <w:rsid w:val="00622091"/>
    <w:rsid w:val="00622903"/>
    <w:rsid w:val="006270AB"/>
    <w:rsid w:val="00632BF1"/>
    <w:rsid w:val="0063741B"/>
    <w:rsid w:val="00637F3E"/>
    <w:rsid w:val="00640524"/>
    <w:rsid w:val="006419DA"/>
    <w:rsid w:val="00643924"/>
    <w:rsid w:val="00643C0E"/>
    <w:rsid w:val="006446AC"/>
    <w:rsid w:val="0064761C"/>
    <w:rsid w:val="00647C8C"/>
    <w:rsid w:val="00652023"/>
    <w:rsid w:val="006565E9"/>
    <w:rsid w:val="00671DB6"/>
    <w:rsid w:val="00672872"/>
    <w:rsid w:val="00675074"/>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0A50"/>
    <w:rsid w:val="006B26E3"/>
    <w:rsid w:val="006B409C"/>
    <w:rsid w:val="006B44E7"/>
    <w:rsid w:val="006B632F"/>
    <w:rsid w:val="006C105A"/>
    <w:rsid w:val="006C10ED"/>
    <w:rsid w:val="006C25D7"/>
    <w:rsid w:val="006C41D2"/>
    <w:rsid w:val="006C4897"/>
    <w:rsid w:val="006C5883"/>
    <w:rsid w:val="006C6282"/>
    <w:rsid w:val="006C6A91"/>
    <w:rsid w:val="006C7A06"/>
    <w:rsid w:val="006C7E40"/>
    <w:rsid w:val="006D044B"/>
    <w:rsid w:val="006D0CE3"/>
    <w:rsid w:val="006D42F9"/>
    <w:rsid w:val="006D47E2"/>
    <w:rsid w:val="006D7516"/>
    <w:rsid w:val="006E1924"/>
    <w:rsid w:val="006E2575"/>
    <w:rsid w:val="006E67DD"/>
    <w:rsid w:val="006E7961"/>
    <w:rsid w:val="006F0B19"/>
    <w:rsid w:val="006F41E9"/>
    <w:rsid w:val="007007B3"/>
    <w:rsid w:val="00702B11"/>
    <w:rsid w:val="00704E26"/>
    <w:rsid w:val="007107D4"/>
    <w:rsid w:val="00711D92"/>
    <w:rsid w:val="00712618"/>
    <w:rsid w:val="00713D11"/>
    <w:rsid w:val="007146BB"/>
    <w:rsid w:val="007161C1"/>
    <w:rsid w:val="0071647B"/>
    <w:rsid w:val="00717562"/>
    <w:rsid w:val="00725257"/>
    <w:rsid w:val="00730C76"/>
    <w:rsid w:val="00735466"/>
    <w:rsid w:val="0073585B"/>
    <w:rsid w:val="00741EBA"/>
    <w:rsid w:val="00745752"/>
    <w:rsid w:val="00750667"/>
    <w:rsid w:val="00751773"/>
    <w:rsid w:val="00754546"/>
    <w:rsid w:val="00756FBB"/>
    <w:rsid w:val="00760211"/>
    <w:rsid w:val="00764B6E"/>
    <w:rsid w:val="0076587B"/>
    <w:rsid w:val="00767BD9"/>
    <w:rsid w:val="00781FB6"/>
    <w:rsid w:val="00785435"/>
    <w:rsid w:val="00787386"/>
    <w:rsid w:val="00787E51"/>
    <w:rsid w:val="007904A1"/>
    <w:rsid w:val="007914FA"/>
    <w:rsid w:val="00795702"/>
    <w:rsid w:val="00795F09"/>
    <w:rsid w:val="007961AE"/>
    <w:rsid w:val="0079670E"/>
    <w:rsid w:val="00796A50"/>
    <w:rsid w:val="007A1CAC"/>
    <w:rsid w:val="007A3B7B"/>
    <w:rsid w:val="007B01D3"/>
    <w:rsid w:val="007B0B84"/>
    <w:rsid w:val="007B4797"/>
    <w:rsid w:val="007C1F04"/>
    <w:rsid w:val="007C5048"/>
    <w:rsid w:val="007C59D8"/>
    <w:rsid w:val="007D0BE7"/>
    <w:rsid w:val="007D26CE"/>
    <w:rsid w:val="007D5131"/>
    <w:rsid w:val="007D5B49"/>
    <w:rsid w:val="007D6841"/>
    <w:rsid w:val="007E0BEF"/>
    <w:rsid w:val="007E1AD0"/>
    <w:rsid w:val="007E53C0"/>
    <w:rsid w:val="007E5718"/>
    <w:rsid w:val="007E5AFF"/>
    <w:rsid w:val="007F496A"/>
    <w:rsid w:val="007F629E"/>
    <w:rsid w:val="007F64AE"/>
    <w:rsid w:val="007F674E"/>
    <w:rsid w:val="008007DE"/>
    <w:rsid w:val="00805BE0"/>
    <w:rsid w:val="008061FD"/>
    <w:rsid w:val="0081027F"/>
    <w:rsid w:val="00812706"/>
    <w:rsid w:val="008151F1"/>
    <w:rsid w:val="00817F5C"/>
    <w:rsid w:val="008270AB"/>
    <w:rsid w:val="0083150B"/>
    <w:rsid w:val="008339A0"/>
    <w:rsid w:val="00836B94"/>
    <w:rsid w:val="00841217"/>
    <w:rsid w:val="008418A1"/>
    <w:rsid w:val="008452FB"/>
    <w:rsid w:val="00845DB9"/>
    <w:rsid w:val="00854425"/>
    <w:rsid w:val="0085647D"/>
    <w:rsid w:val="0085659F"/>
    <w:rsid w:val="00861E4B"/>
    <w:rsid w:val="0086332B"/>
    <w:rsid w:val="00865712"/>
    <w:rsid w:val="0087138D"/>
    <w:rsid w:val="008725E5"/>
    <w:rsid w:val="0087263C"/>
    <w:rsid w:val="0087291B"/>
    <w:rsid w:val="00872B5F"/>
    <w:rsid w:val="00875B25"/>
    <w:rsid w:val="00890676"/>
    <w:rsid w:val="008931BC"/>
    <w:rsid w:val="0089462F"/>
    <w:rsid w:val="008979F0"/>
    <w:rsid w:val="008A07D1"/>
    <w:rsid w:val="008A3508"/>
    <w:rsid w:val="008A4F28"/>
    <w:rsid w:val="008B0431"/>
    <w:rsid w:val="008B317B"/>
    <w:rsid w:val="008B3FA0"/>
    <w:rsid w:val="008B4BF4"/>
    <w:rsid w:val="008B5387"/>
    <w:rsid w:val="008B7438"/>
    <w:rsid w:val="008B7F49"/>
    <w:rsid w:val="008C1F16"/>
    <w:rsid w:val="008C43DA"/>
    <w:rsid w:val="008C4985"/>
    <w:rsid w:val="008C6F89"/>
    <w:rsid w:val="008C714E"/>
    <w:rsid w:val="008D2B04"/>
    <w:rsid w:val="008D6B3D"/>
    <w:rsid w:val="008D7F4A"/>
    <w:rsid w:val="008E3414"/>
    <w:rsid w:val="008E5D8E"/>
    <w:rsid w:val="008E7BDB"/>
    <w:rsid w:val="008F638B"/>
    <w:rsid w:val="008F72C4"/>
    <w:rsid w:val="00900850"/>
    <w:rsid w:val="00901685"/>
    <w:rsid w:val="0090187F"/>
    <w:rsid w:val="00902889"/>
    <w:rsid w:val="00903C79"/>
    <w:rsid w:val="00907C71"/>
    <w:rsid w:val="00911EB3"/>
    <w:rsid w:val="009139D7"/>
    <w:rsid w:val="00913E29"/>
    <w:rsid w:val="00914BF7"/>
    <w:rsid w:val="00914D03"/>
    <w:rsid w:val="009174A8"/>
    <w:rsid w:val="009201C4"/>
    <w:rsid w:val="0092146B"/>
    <w:rsid w:val="0092189A"/>
    <w:rsid w:val="00923EFE"/>
    <w:rsid w:val="009279BA"/>
    <w:rsid w:val="00927C16"/>
    <w:rsid w:val="00932136"/>
    <w:rsid w:val="00932A3F"/>
    <w:rsid w:val="009373E9"/>
    <w:rsid w:val="0094092E"/>
    <w:rsid w:val="0094097B"/>
    <w:rsid w:val="0094196F"/>
    <w:rsid w:val="00942D1D"/>
    <w:rsid w:val="009438C2"/>
    <w:rsid w:val="009446C0"/>
    <w:rsid w:val="00945546"/>
    <w:rsid w:val="00945EB0"/>
    <w:rsid w:val="00947A0C"/>
    <w:rsid w:val="009531E5"/>
    <w:rsid w:val="00953E22"/>
    <w:rsid w:val="00954309"/>
    <w:rsid w:val="009571BD"/>
    <w:rsid w:val="009625A1"/>
    <w:rsid w:val="00964E9C"/>
    <w:rsid w:val="0096767F"/>
    <w:rsid w:val="00967772"/>
    <w:rsid w:val="009779D4"/>
    <w:rsid w:val="00982BF4"/>
    <w:rsid w:val="00983485"/>
    <w:rsid w:val="009865FB"/>
    <w:rsid w:val="009906D7"/>
    <w:rsid w:val="00991DE4"/>
    <w:rsid w:val="009966A5"/>
    <w:rsid w:val="009A7D8B"/>
    <w:rsid w:val="009B0C67"/>
    <w:rsid w:val="009B1C3D"/>
    <w:rsid w:val="009B1E06"/>
    <w:rsid w:val="009B23EE"/>
    <w:rsid w:val="009B4437"/>
    <w:rsid w:val="009B7FED"/>
    <w:rsid w:val="009C5301"/>
    <w:rsid w:val="009D0187"/>
    <w:rsid w:val="009D60E0"/>
    <w:rsid w:val="009D7157"/>
    <w:rsid w:val="009D753F"/>
    <w:rsid w:val="009D7A5A"/>
    <w:rsid w:val="009E0A3C"/>
    <w:rsid w:val="009E1670"/>
    <w:rsid w:val="009E3ED7"/>
    <w:rsid w:val="009E50AB"/>
    <w:rsid w:val="009E57FF"/>
    <w:rsid w:val="009E5887"/>
    <w:rsid w:val="009E65FC"/>
    <w:rsid w:val="009F5C48"/>
    <w:rsid w:val="009F6181"/>
    <w:rsid w:val="009F75F7"/>
    <w:rsid w:val="00A019D9"/>
    <w:rsid w:val="00A10019"/>
    <w:rsid w:val="00A13701"/>
    <w:rsid w:val="00A161E0"/>
    <w:rsid w:val="00A17160"/>
    <w:rsid w:val="00A21F56"/>
    <w:rsid w:val="00A245C9"/>
    <w:rsid w:val="00A27623"/>
    <w:rsid w:val="00A32047"/>
    <w:rsid w:val="00A36A86"/>
    <w:rsid w:val="00A40AD7"/>
    <w:rsid w:val="00A410B1"/>
    <w:rsid w:val="00A4266F"/>
    <w:rsid w:val="00A42DF3"/>
    <w:rsid w:val="00A4697D"/>
    <w:rsid w:val="00A619B8"/>
    <w:rsid w:val="00A65D9E"/>
    <w:rsid w:val="00A66D8B"/>
    <w:rsid w:val="00A670B4"/>
    <w:rsid w:val="00A6784A"/>
    <w:rsid w:val="00A67897"/>
    <w:rsid w:val="00A70954"/>
    <w:rsid w:val="00A70FA4"/>
    <w:rsid w:val="00A729CF"/>
    <w:rsid w:val="00A75F86"/>
    <w:rsid w:val="00A761D5"/>
    <w:rsid w:val="00A811E0"/>
    <w:rsid w:val="00A83C5D"/>
    <w:rsid w:val="00A862BF"/>
    <w:rsid w:val="00A90006"/>
    <w:rsid w:val="00A9022D"/>
    <w:rsid w:val="00A909F3"/>
    <w:rsid w:val="00A93A65"/>
    <w:rsid w:val="00A93AA9"/>
    <w:rsid w:val="00AA1176"/>
    <w:rsid w:val="00AA24D3"/>
    <w:rsid w:val="00AA2A42"/>
    <w:rsid w:val="00AA4D07"/>
    <w:rsid w:val="00AA6434"/>
    <w:rsid w:val="00AA66AD"/>
    <w:rsid w:val="00AB1FCE"/>
    <w:rsid w:val="00AB22CE"/>
    <w:rsid w:val="00AB30FE"/>
    <w:rsid w:val="00AB401D"/>
    <w:rsid w:val="00AB7973"/>
    <w:rsid w:val="00AB7C2F"/>
    <w:rsid w:val="00AC019A"/>
    <w:rsid w:val="00AC0656"/>
    <w:rsid w:val="00AC1480"/>
    <w:rsid w:val="00AC1838"/>
    <w:rsid w:val="00AC57CE"/>
    <w:rsid w:val="00AC63A5"/>
    <w:rsid w:val="00AD1141"/>
    <w:rsid w:val="00AD1AA7"/>
    <w:rsid w:val="00AD3780"/>
    <w:rsid w:val="00AE1FF7"/>
    <w:rsid w:val="00AE49C4"/>
    <w:rsid w:val="00AE4D32"/>
    <w:rsid w:val="00AF1E3A"/>
    <w:rsid w:val="00AF226B"/>
    <w:rsid w:val="00AF305F"/>
    <w:rsid w:val="00AF33FB"/>
    <w:rsid w:val="00AF5BDE"/>
    <w:rsid w:val="00B0073A"/>
    <w:rsid w:val="00B009E5"/>
    <w:rsid w:val="00B01E71"/>
    <w:rsid w:val="00B04262"/>
    <w:rsid w:val="00B06270"/>
    <w:rsid w:val="00B06B3C"/>
    <w:rsid w:val="00B06C31"/>
    <w:rsid w:val="00B13851"/>
    <w:rsid w:val="00B13997"/>
    <w:rsid w:val="00B144E8"/>
    <w:rsid w:val="00B17A98"/>
    <w:rsid w:val="00B20614"/>
    <w:rsid w:val="00B20E77"/>
    <w:rsid w:val="00B22059"/>
    <w:rsid w:val="00B22C12"/>
    <w:rsid w:val="00B24826"/>
    <w:rsid w:val="00B2792D"/>
    <w:rsid w:val="00B31F31"/>
    <w:rsid w:val="00B320B5"/>
    <w:rsid w:val="00B368D7"/>
    <w:rsid w:val="00B36A32"/>
    <w:rsid w:val="00B37AD8"/>
    <w:rsid w:val="00B401DE"/>
    <w:rsid w:val="00B426CB"/>
    <w:rsid w:val="00B43467"/>
    <w:rsid w:val="00B43EDA"/>
    <w:rsid w:val="00B44430"/>
    <w:rsid w:val="00B447BB"/>
    <w:rsid w:val="00B45D87"/>
    <w:rsid w:val="00B466AF"/>
    <w:rsid w:val="00B46D00"/>
    <w:rsid w:val="00B477A1"/>
    <w:rsid w:val="00B50126"/>
    <w:rsid w:val="00B50B4C"/>
    <w:rsid w:val="00B51EC2"/>
    <w:rsid w:val="00B55E47"/>
    <w:rsid w:val="00B5779E"/>
    <w:rsid w:val="00B60EA9"/>
    <w:rsid w:val="00B60F99"/>
    <w:rsid w:val="00B62150"/>
    <w:rsid w:val="00B622A8"/>
    <w:rsid w:val="00B62BB6"/>
    <w:rsid w:val="00B653F1"/>
    <w:rsid w:val="00B6769B"/>
    <w:rsid w:val="00B70EBF"/>
    <w:rsid w:val="00B70FA6"/>
    <w:rsid w:val="00B72EDC"/>
    <w:rsid w:val="00B7325D"/>
    <w:rsid w:val="00B77279"/>
    <w:rsid w:val="00B804B2"/>
    <w:rsid w:val="00B809E9"/>
    <w:rsid w:val="00B830A0"/>
    <w:rsid w:val="00B83B91"/>
    <w:rsid w:val="00B85400"/>
    <w:rsid w:val="00B86DEB"/>
    <w:rsid w:val="00B92CBA"/>
    <w:rsid w:val="00B94300"/>
    <w:rsid w:val="00BA203A"/>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21F"/>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3E4B"/>
    <w:rsid w:val="00C24DBF"/>
    <w:rsid w:val="00C26AB0"/>
    <w:rsid w:val="00C36EB7"/>
    <w:rsid w:val="00C408EA"/>
    <w:rsid w:val="00C4612D"/>
    <w:rsid w:val="00C46FE3"/>
    <w:rsid w:val="00C50FCB"/>
    <w:rsid w:val="00C51110"/>
    <w:rsid w:val="00C530D6"/>
    <w:rsid w:val="00C5353C"/>
    <w:rsid w:val="00C579B8"/>
    <w:rsid w:val="00C63B8A"/>
    <w:rsid w:val="00C65528"/>
    <w:rsid w:val="00C659F9"/>
    <w:rsid w:val="00C67BBA"/>
    <w:rsid w:val="00C724B2"/>
    <w:rsid w:val="00C72C52"/>
    <w:rsid w:val="00C7407A"/>
    <w:rsid w:val="00C74F6F"/>
    <w:rsid w:val="00C762CC"/>
    <w:rsid w:val="00C768F4"/>
    <w:rsid w:val="00C80FC8"/>
    <w:rsid w:val="00C83507"/>
    <w:rsid w:val="00C83C9A"/>
    <w:rsid w:val="00C84225"/>
    <w:rsid w:val="00C848D6"/>
    <w:rsid w:val="00C8608F"/>
    <w:rsid w:val="00C92B01"/>
    <w:rsid w:val="00C96CAA"/>
    <w:rsid w:val="00CA13AB"/>
    <w:rsid w:val="00CA6874"/>
    <w:rsid w:val="00CB0080"/>
    <w:rsid w:val="00CB4A56"/>
    <w:rsid w:val="00CB5794"/>
    <w:rsid w:val="00CB7515"/>
    <w:rsid w:val="00CC1091"/>
    <w:rsid w:val="00CC3AA1"/>
    <w:rsid w:val="00CD1F1E"/>
    <w:rsid w:val="00CD624F"/>
    <w:rsid w:val="00CE2982"/>
    <w:rsid w:val="00CE4F25"/>
    <w:rsid w:val="00CE57BA"/>
    <w:rsid w:val="00CF072C"/>
    <w:rsid w:val="00CF1113"/>
    <w:rsid w:val="00CF2EB1"/>
    <w:rsid w:val="00CF45E6"/>
    <w:rsid w:val="00CF4B70"/>
    <w:rsid w:val="00CF628D"/>
    <w:rsid w:val="00D00449"/>
    <w:rsid w:val="00D05108"/>
    <w:rsid w:val="00D05F84"/>
    <w:rsid w:val="00D061E0"/>
    <w:rsid w:val="00D078F5"/>
    <w:rsid w:val="00D12A6C"/>
    <w:rsid w:val="00D13D51"/>
    <w:rsid w:val="00D14DB6"/>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3FF5"/>
    <w:rsid w:val="00D6444F"/>
    <w:rsid w:val="00D66539"/>
    <w:rsid w:val="00D70596"/>
    <w:rsid w:val="00D72AF8"/>
    <w:rsid w:val="00D76DF4"/>
    <w:rsid w:val="00D770C0"/>
    <w:rsid w:val="00D77F5D"/>
    <w:rsid w:val="00D823DA"/>
    <w:rsid w:val="00D825EF"/>
    <w:rsid w:val="00D85AF1"/>
    <w:rsid w:val="00D87536"/>
    <w:rsid w:val="00D87D76"/>
    <w:rsid w:val="00D906F6"/>
    <w:rsid w:val="00D90B91"/>
    <w:rsid w:val="00D9315E"/>
    <w:rsid w:val="00D93301"/>
    <w:rsid w:val="00D937FB"/>
    <w:rsid w:val="00D9490B"/>
    <w:rsid w:val="00D94A6F"/>
    <w:rsid w:val="00D97B85"/>
    <w:rsid w:val="00DA1DBF"/>
    <w:rsid w:val="00DA1DDD"/>
    <w:rsid w:val="00DA2C99"/>
    <w:rsid w:val="00DA30B8"/>
    <w:rsid w:val="00DA7836"/>
    <w:rsid w:val="00DA7D99"/>
    <w:rsid w:val="00DB455B"/>
    <w:rsid w:val="00DB4D1A"/>
    <w:rsid w:val="00DB7516"/>
    <w:rsid w:val="00DB7605"/>
    <w:rsid w:val="00DB7D7D"/>
    <w:rsid w:val="00DC05F8"/>
    <w:rsid w:val="00DC1DCB"/>
    <w:rsid w:val="00DC786B"/>
    <w:rsid w:val="00DD2649"/>
    <w:rsid w:val="00DD4B33"/>
    <w:rsid w:val="00DD5486"/>
    <w:rsid w:val="00DD785C"/>
    <w:rsid w:val="00DD7C44"/>
    <w:rsid w:val="00DE032A"/>
    <w:rsid w:val="00DE26E1"/>
    <w:rsid w:val="00DE29F8"/>
    <w:rsid w:val="00DE303E"/>
    <w:rsid w:val="00DE6B68"/>
    <w:rsid w:val="00E02364"/>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47F"/>
    <w:rsid w:val="00E3255F"/>
    <w:rsid w:val="00E368B7"/>
    <w:rsid w:val="00E37840"/>
    <w:rsid w:val="00E40B35"/>
    <w:rsid w:val="00E455B3"/>
    <w:rsid w:val="00E47B48"/>
    <w:rsid w:val="00E51449"/>
    <w:rsid w:val="00E539B8"/>
    <w:rsid w:val="00E652E1"/>
    <w:rsid w:val="00E65B83"/>
    <w:rsid w:val="00E6632F"/>
    <w:rsid w:val="00E66399"/>
    <w:rsid w:val="00E665FF"/>
    <w:rsid w:val="00E6761A"/>
    <w:rsid w:val="00E67714"/>
    <w:rsid w:val="00E70545"/>
    <w:rsid w:val="00E71E59"/>
    <w:rsid w:val="00E73170"/>
    <w:rsid w:val="00E74EB7"/>
    <w:rsid w:val="00E755B0"/>
    <w:rsid w:val="00E76EF4"/>
    <w:rsid w:val="00E7754E"/>
    <w:rsid w:val="00E84EDA"/>
    <w:rsid w:val="00E85A8F"/>
    <w:rsid w:val="00E90D2C"/>
    <w:rsid w:val="00E9560F"/>
    <w:rsid w:val="00EA2923"/>
    <w:rsid w:val="00EB0AFA"/>
    <w:rsid w:val="00EB3707"/>
    <w:rsid w:val="00EB631D"/>
    <w:rsid w:val="00EB6DD6"/>
    <w:rsid w:val="00EB75B8"/>
    <w:rsid w:val="00EC05C0"/>
    <w:rsid w:val="00EC0F01"/>
    <w:rsid w:val="00EC19E6"/>
    <w:rsid w:val="00EC2C4A"/>
    <w:rsid w:val="00EC57AB"/>
    <w:rsid w:val="00ED110D"/>
    <w:rsid w:val="00ED17C8"/>
    <w:rsid w:val="00ED3BAB"/>
    <w:rsid w:val="00ED6AF9"/>
    <w:rsid w:val="00EE0F27"/>
    <w:rsid w:val="00EE4A94"/>
    <w:rsid w:val="00EE4C2A"/>
    <w:rsid w:val="00EE5419"/>
    <w:rsid w:val="00EF0FA2"/>
    <w:rsid w:val="00EF1217"/>
    <w:rsid w:val="00EF18AC"/>
    <w:rsid w:val="00EF390B"/>
    <w:rsid w:val="00F007B9"/>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240"/>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21C"/>
    <w:rsid w:val="00F4145D"/>
    <w:rsid w:val="00F42C6E"/>
    <w:rsid w:val="00F457A9"/>
    <w:rsid w:val="00F5031D"/>
    <w:rsid w:val="00F51ECA"/>
    <w:rsid w:val="00F542FD"/>
    <w:rsid w:val="00F56BAC"/>
    <w:rsid w:val="00F5718D"/>
    <w:rsid w:val="00F57711"/>
    <w:rsid w:val="00F61B7F"/>
    <w:rsid w:val="00F61C24"/>
    <w:rsid w:val="00F64922"/>
    <w:rsid w:val="00F700F2"/>
    <w:rsid w:val="00F7511A"/>
    <w:rsid w:val="00F81962"/>
    <w:rsid w:val="00F85C7C"/>
    <w:rsid w:val="00F923D7"/>
    <w:rsid w:val="00F92D00"/>
    <w:rsid w:val="00F93D26"/>
    <w:rsid w:val="00F9442C"/>
    <w:rsid w:val="00F94F6A"/>
    <w:rsid w:val="00F960EE"/>
    <w:rsid w:val="00FA1E20"/>
    <w:rsid w:val="00FA2520"/>
    <w:rsid w:val="00FB08BE"/>
    <w:rsid w:val="00FB25EC"/>
    <w:rsid w:val="00FB49E7"/>
    <w:rsid w:val="00FB52E8"/>
    <w:rsid w:val="00FC5734"/>
    <w:rsid w:val="00FC5E62"/>
    <w:rsid w:val="00FC5F5C"/>
    <w:rsid w:val="00FC6BE8"/>
    <w:rsid w:val="00FD0222"/>
    <w:rsid w:val="00FD1B7F"/>
    <w:rsid w:val="00FD2851"/>
    <w:rsid w:val="00FD3232"/>
    <w:rsid w:val="00FE1801"/>
    <w:rsid w:val="00FE3346"/>
    <w:rsid w:val="00FE78BA"/>
    <w:rsid w:val="00FF4726"/>
    <w:rsid w:val="00FF562A"/>
    <w:rsid w:val="00FF6711"/>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03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
    <w:name w:val="Unresolved Mention"/>
    <w:basedOn w:val="DefaultParagraphFont"/>
    <w:uiPriority w:val="99"/>
    <w:semiHidden/>
    <w:unhideWhenUsed/>
    <w:rsid w:val="004B613A"/>
    <w:rPr>
      <w:color w:val="605E5C"/>
      <w:shd w:val="clear" w:color="auto" w:fill="E1DFDD"/>
    </w:rPr>
  </w:style>
  <w:style w:type="paragraph" w:styleId="BlockText">
    <w:name w:val="Block Text"/>
    <w:basedOn w:val="Normal"/>
    <w:rsid w:val="007F629E"/>
    <w:pPr>
      <w:spacing w:after="120"/>
      <w:ind w:left="1440" w:right="1440"/>
    </w:pPr>
    <w:rPr>
      <w:rFonts w:ascii="Garamond" w:eastAsia="Times New Roman" w:hAnsi="Garamond"/>
      <w:lang w:eastAsia="en-US"/>
    </w:rPr>
  </w:style>
  <w:style w:type="paragraph" w:styleId="BodyTextIndent">
    <w:name w:val="Body Text Indent"/>
    <w:basedOn w:val="Normal"/>
    <w:link w:val="BodyTextIndentChar"/>
    <w:rsid w:val="00675074"/>
    <w:pPr>
      <w:spacing w:after="120"/>
      <w:ind w:left="360"/>
    </w:pPr>
    <w:rPr>
      <w:rFonts w:ascii="Garamond" w:eastAsia="Times New Roman" w:hAnsi="Garamond"/>
      <w:lang w:eastAsia="en-US"/>
    </w:rPr>
  </w:style>
  <w:style w:type="character" w:customStyle="1" w:styleId="BodyTextIndentChar">
    <w:name w:val="Body Text Indent Char"/>
    <w:basedOn w:val="DefaultParagraphFont"/>
    <w:link w:val="BodyTextIndent"/>
    <w:rsid w:val="00675074"/>
    <w:rPr>
      <w:rFonts w:ascii="Garamond" w:eastAsia="Times New Roman" w:hAnsi="Garamond"/>
      <w:sz w:val="24"/>
      <w:szCs w:val="24"/>
    </w:rPr>
  </w:style>
  <w:style w:type="character" w:customStyle="1" w:styleId="url">
    <w:name w:val="url"/>
    <w:basedOn w:val="DefaultParagraphFont"/>
    <w:rsid w:val="009139D7"/>
  </w:style>
  <w:style w:type="character" w:customStyle="1" w:styleId="meeting-start">
    <w:name w:val="meeting-start"/>
    <w:basedOn w:val="DefaultParagraphFont"/>
    <w:rsid w:val="00483C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
    <w:name w:val="Unresolved Mention"/>
    <w:basedOn w:val="DefaultParagraphFont"/>
    <w:uiPriority w:val="99"/>
    <w:semiHidden/>
    <w:unhideWhenUsed/>
    <w:rsid w:val="004B613A"/>
    <w:rPr>
      <w:color w:val="605E5C"/>
      <w:shd w:val="clear" w:color="auto" w:fill="E1DFDD"/>
    </w:rPr>
  </w:style>
  <w:style w:type="paragraph" w:styleId="BlockText">
    <w:name w:val="Block Text"/>
    <w:basedOn w:val="Normal"/>
    <w:rsid w:val="007F629E"/>
    <w:pPr>
      <w:spacing w:after="120"/>
      <w:ind w:left="1440" w:right="1440"/>
    </w:pPr>
    <w:rPr>
      <w:rFonts w:ascii="Garamond" w:eastAsia="Times New Roman" w:hAnsi="Garamond"/>
      <w:lang w:eastAsia="en-US"/>
    </w:rPr>
  </w:style>
  <w:style w:type="paragraph" w:styleId="BodyTextIndent">
    <w:name w:val="Body Text Indent"/>
    <w:basedOn w:val="Normal"/>
    <w:link w:val="BodyTextIndentChar"/>
    <w:rsid w:val="00675074"/>
    <w:pPr>
      <w:spacing w:after="120"/>
      <w:ind w:left="360"/>
    </w:pPr>
    <w:rPr>
      <w:rFonts w:ascii="Garamond" w:eastAsia="Times New Roman" w:hAnsi="Garamond"/>
      <w:lang w:eastAsia="en-US"/>
    </w:rPr>
  </w:style>
  <w:style w:type="character" w:customStyle="1" w:styleId="BodyTextIndentChar">
    <w:name w:val="Body Text Indent Char"/>
    <w:basedOn w:val="DefaultParagraphFont"/>
    <w:link w:val="BodyTextIndent"/>
    <w:rsid w:val="00675074"/>
    <w:rPr>
      <w:rFonts w:ascii="Garamond" w:eastAsia="Times New Roman" w:hAnsi="Garamond"/>
      <w:sz w:val="24"/>
      <w:szCs w:val="24"/>
    </w:rPr>
  </w:style>
  <w:style w:type="character" w:customStyle="1" w:styleId="url">
    <w:name w:val="url"/>
    <w:basedOn w:val="DefaultParagraphFont"/>
    <w:rsid w:val="009139D7"/>
  </w:style>
  <w:style w:type="character" w:customStyle="1" w:styleId="meeting-start">
    <w:name w:val="meeting-start"/>
    <w:basedOn w:val="DefaultParagraphFont"/>
    <w:rsid w:val="0048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1003">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5272905">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60065716">
      <w:bodyDiv w:val="1"/>
      <w:marLeft w:val="0"/>
      <w:marRight w:val="0"/>
      <w:marTop w:val="0"/>
      <w:marBottom w:val="0"/>
      <w:divBdr>
        <w:top w:val="none" w:sz="0" w:space="0" w:color="auto"/>
        <w:left w:val="none" w:sz="0" w:space="0" w:color="auto"/>
        <w:bottom w:val="none" w:sz="0" w:space="0" w:color="auto"/>
        <w:right w:val="none" w:sz="0" w:space="0" w:color="auto"/>
      </w:divBdr>
    </w:div>
    <w:div w:id="329406638">
      <w:bodyDiv w:val="1"/>
      <w:marLeft w:val="0"/>
      <w:marRight w:val="0"/>
      <w:marTop w:val="0"/>
      <w:marBottom w:val="0"/>
      <w:divBdr>
        <w:top w:val="none" w:sz="0" w:space="0" w:color="auto"/>
        <w:left w:val="none" w:sz="0" w:space="0" w:color="auto"/>
        <w:bottom w:val="none" w:sz="0" w:space="0" w:color="auto"/>
        <w:right w:val="none" w:sz="0" w:space="0" w:color="auto"/>
      </w:divBdr>
    </w:div>
    <w:div w:id="399061913">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19212428">
      <w:bodyDiv w:val="1"/>
      <w:marLeft w:val="0"/>
      <w:marRight w:val="0"/>
      <w:marTop w:val="0"/>
      <w:marBottom w:val="0"/>
      <w:divBdr>
        <w:top w:val="none" w:sz="0" w:space="0" w:color="auto"/>
        <w:left w:val="none" w:sz="0" w:space="0" w:color="auto"/>
        <w:bottom w:val="none" w:sz="0" w:space="0" w:color="auto"/>
        <w:right w:val="none" w:sz="0" w:space="0" w:color="auto"/>
      </w:divBdr>
    </w:div>
    <w:div w:id="728651226">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899049523">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72835898">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48952716">
      <w:bodyDiv w:val="1"/>
      <w:marLeft w:val="0"/>
      <w:marRight w:val="0"/>
      <w:marTop w:val="0"/>
      <w:marBottom w:val="0"/>
      <w:divBdr>
        <w:top w:val="none" w:sz="0" w:space="0" w:color="auto"/>
        <w:left w:val="none" w:sz="0" w:space="0" w:color="auto"/>
        <w:bottom w:val="none" w:sz="0" w:space="0" w:color="auto"/>
        <w:right w:val="none" w:sz="0" w:space="0" w:color="auto"/>
      </w:divBdr>
    </w:div>
    <w:div w:id="1554611658">
      <w:bodyDiv w:val="1"/>
      <w:marLeft w:val="0"/>
      <w:marRight w:val="0"/>
      <w:marTop w:val="0"/>
      <w:marBottom w:val="0"/>
      <w:divBdr>
        <w:top w:val="none" w:sz="0" w:space="0" w:color="auto"/>
        <w:left w:val="none" w:sz="0" w:space="0" w:color="auto"/>
        <w:bottom w:val="none" w:sz="0" w:space="0" w:color="auto"/>
        <w:right w:val="none" w:sz="0" w:space="0" w:color="auto"/>
      </w:divBdr>
    </w:div>
    <w:div w:id="1688098137">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762871484">
      <w:bodyDiv w:val="1"/>
      <w:marLeft w:val="0"/>
      <w:marRight w:val="0"/>
      <w:marTop w:val="0"/>
      <w:marBottom w:val="0"/>
      <w:divBdr>
        <w:top w:val="none" w:sz="0" w:space="0" w:color="auto"/>
        <w:left w:val="none" w:sz="0" w:space="0" w:color="auto"/>
        <w:bottom w:val="none" w:sz="0" w:space="0" w:color="auto"/>
        <w:right w:val="none" w:sz="0" w:space="0" w:color="auto"/>
      </w:divBdr>
    </w:div>
    <w:div w:id="1799376437">
      <w:bodyDiv w:val="1"/>
      <w:marLeft w:val="0"/>
      <w:marRight w:val="0"/>
      <w:marTop w:val="0"/>
      <w:marBottom w:val="0"/>
      <w:divBdr>
        <w:top w:val="none" w:sz="0" w:space="0" w:color="auto"/>
        <w:left w:val="none" w:sz="0" w:space="0" w:color="auto"/>
        <w:bottom w:val="none" w:sz="0" w:space="0" w:color="auto"/>
        <w:right w:val="none" w:sz="0" w:space="0" w:color="auto"/>
      </w:divBdr>
    </w:div>
    <w:div w:id="1804274472">
      <w:bodyDiv w:val="1"/>
      <w:marLeft w:val="0"/>
      <w:marRight w:val="0"/>
      <w:marTop w:val="0"/>
      <w:marBottom w:val="0"/>
      <w:divBdr>
        <w:top w:val="none" w:sz="0" w:space="0" w:color="auto"/>
        <w:left w:val="none" w:sz="0" w:space="0" w:color="auto"/>
        <w:bottom w:val="none" w:sz="0" w:space="0" w:color="auto"/>
        <w:right w:val="none" w:sz="0" w:space="0" w:color="auto"/>
      </w:divBdr>
    </w:div>
    <w:div w:id="1905872823">
      <w:bodyDiv w:val="1"/>
      <w:marLeft w:val="0"/>
      <w:marRight w:val="0"/>
      <w:marTop w:val="0"/>
      <w:marBottom w:val="0"/>
      <w:divBdr>
        <w:top w:val="none" w:sz="0" w:space="0" w:color="auto"/>
        <w:left w:val="none" w:sz="0" w:space="0" w:color="auto"/>
        <w:bottom w:val="none" w:sz="0" w:space="0" w:color="auto"/>
        <w:right w:val="none" w:sz="0" w:space="0" w:color="auto"/>
      </w:divBdr>
    </w:div>
    <w:div w:id="194858579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jsu.edu/urbanplanning/courses/pabknowledge.html" TargetMode="External"/><Relationship Id="rId20" Type="http://schemas.openxmlformats.org/officeDocument/2006/relationships/hyperlink" Target="https://www.theatlantic.com/science/archive/2017/06/oil-is-flowing-through-the-dakota-access-pipeline/529707/" TargetMode="External"/><Relationship Id="rId21" Type="http://schemas.openxmlformats.org/officeDocument/2006/relationships/hyperlink" Target="https://earthjustice.org/features/faq-standing-rock-litigation" TargetMode="External"/><Relationship Id="rId22" Type="http://schemas.openxmlformats.org/officeDocument/2006/relationships/hyperlink" Target="http://cdm16021.contentdm.oclc.org/cdm/ref/collection/p16021coll7/id/2427" TargetMode="External"/><Relationship Id="rId23" Type="http://schemas.openxmlformats.org/officeDocument/2006/relationships/hyperlink" Target="https://www.cp-dr.com/node/" TargetMode="External"/><Relationship Id="rId24" Type="http://schemas.openxmlformats.org/officeDocument/2006/relationships/hyperlink" Target="https://www.ceqadevelopments.com/2017/07/18/2699/"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33" Type="http://schemas.microsoft.com/office/2016/09/relationships/commentsIds" Target="commentsIds.xml"/><Relationship Id="rId50" Type="http://schemas.microsoft.com/office/2011/relationships/people" Target="people.xml"/><Relationship Id="rId51" Type="http://schemas.microsoft.com/office/2011/relationships/commentsExtended" Target="commentsExtended.xml"/><Relationship Id="rId10" Type="http://schemas.openxmlformats.org/officeDocument/2006/relationships/hyperlink" Target="mailto:toby.matoush@sjsu.edu" TargetMode="External"/><Relationship Id="rId11" Type="http://schemas.openxmlformats.org/officeDocument/2006/relationships/hyperlink" Target="http://www.sjsu.edu/senate/docs/S16-9.pdf" TargetMode="External"/><Relationship Id="rId12" Type="http://schemas.openxmlformats.org/officeDocument/2006/relationships/hyperlink" Target="http://www.sjsu.edu/gup/syllabusinfo/" TargetMode="External"/><Relationship Id="rId13" Type="http://schemas.openxmlformats.org/officeDocument/2006/relationships/hyperlink" Target="http://www.indiana.edu/~istd/overview.html" TargetMode="External"/><Relationship Id="rId14" Type="http://schemas.openxmlformats.org/officeDocument/2006/relationships/hyperlink" Target="http://www.indiana.edu/~istd/examples.html" TargetMode="External"/><Relationship Id="rId15" Type="http://schemas.openxmlformats.org/officeDocument/2006/relationships/hyperlink" Target="http://www.indiana.edu/~istd/test.html" TargetMode="External"/><Relationship Id="rId16" Type="http://schemas.openxmlformats.org/officeDocument/2006/relationships/hyperlink" Target="https://www.nytimes.com/article/climate-change-global-warming-faq.html" TargetMode="External"/><Relationship Id="rId17" Type="http://schemas.openxmlformats.org/officeDocument/2006/relationships/hyperlink" Target="https://hcp.stanford.edu/documents.html" TargetMode="External"/><Relationship Id="rId18" Type="http://schemas.openxmlformats.org/officeDocument/2006/relationships/hyperlink" Target="https://water.ca.gov/Water-Basics/The-California-Water-System" TargetMode="External"/><Relationship Id="rId19" Type="http://schemas.openxmlformats.org/officeDocument/2006/relationships/hyperlink" Target="http://thehill.com/policy/energy-environment/337863-court-dakota-access-pipeline-needs-further-environmental-revie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20A1-E83B-4D40-AAAD-5F9A8E13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3916</TotalTime>
  <Pages>12</Pages>
  <Words>4456</Words>
  <Characters>25405</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29802</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Greta Kirschenbaum</cp:lastModifiedBy>
  <cp:revision>43</cp:revision>
  <cp:lastPrinted>2020-07-17T20:09:00Z</cp:lastPrinted>
  <dcterms:created xsi:type="dcterms:W3CDTF">2021-12-11T23:46:00Z</dcterms:created>
  <dcterms:modified xsi:type="dcterms:W3CDTF">2023-01-28T02:38:00Z</dcterms:modified>
</cp:coreProperties>
</file>