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F0A39" w14:textId="77777777" w:rsidR="00F6758C" w:rsidRDefault="00F6758C" w:rsidP="00EE7673">
      <w:pPr>
        <w:jc w:val="center"/>
        <w:rPr>
          <w:b/>
        </w:rPr>
      </w:pPr>
      <w:bookmarkStart w:id="0" w:name="_GoBack"/>
      <w:bookmarkEnd w:id="0"/>
    </w:p>
    <w:p w14:paraId="28F80C51" w14:textId="77777777" w:rsidR="00F6758C" w:rsidRDefault="00F6758C" w:rsidP="00EE7673">
      <w:pPr>
        <w:jc w:val="center"/>
        <w:rPr>
          <w:b/>
        </w:rPr>
      </w:pPr>
    </w:p>
    <w:p w14:paraId="4EFD5093" w14:textId="77777777" w:rsidR="00F6758C" w:rsidRDefault="00F6758C" w:rsidP="00EE7673">
      <w:pPr>
        <w:jc w:val="center"/>
        <w:rPr>
          <w:b/>
        </w:rPr>
      </w:pPr>
    </w:p>
    <w:p w14:paraId="6708E660" w14:textId="77777777" w:rsidR="00F6758C" w:rsidRDefault="00F6758C" w:rsidP="00EE7673">
      <w:pPr>
        <w:jc w:val="center"/>
        <w:rPr>
          <w:b/>
        </w:rPr>
      </w:pPr>
    </w:p>
    <w:p w14:paraId="5B7ADBF2" w14:textId="77777777" w:rsidR="00F6758C" w:rsidRDefault="00F6758C" w:rsidP="00EE7673">
      <w:pPr>
        <w:jc w:val="center"/>
        <w:rPr>
          <w:b/>
        </w:rPr>
      </w:pPr>
    </w:p>
    <w:p w14:paraId="1354C269" w14:textId="77777777" w:rsidR="00F6758C" w:rsidRDefault="00F6758C" w:rsidP="00EE7673">
      <w:pPr>
        <w:jc w:val="center"/>
        <w:rPr>
          <w:b/>
        </w:rPr>
      </w:pPr>
    </w:p>
    <w:p w14:paraId="35B2F469" w14:textId="77777777" w:rsidR="00F6758C" w:rsidRDefault="00F6758C" w:rsidP="00EE7673">
      <w:pPr>
        <w:jc w:val="center"/>
        <w:rPr>
          <w:b/>
        </w:rPr>
      </w:pPr>
    </w:p>
    <w:p w14:paraId="2D5737D0" w14:textId="77777777" w:rsidR="00F6758C" w:rsidRDefault="00F6758C" w:rsidP="00EE7673">
      <w:pPr>
        <w:jc w:val="center"/>
        <w:rPr>
          <w:b/>
        </w:rPr>
      </w:pPr>
    </w:p>
    <w:p w14:paraId="0604EDF9" w14:textId="77777777" w:rsidR="00F6758C" w:rsidRDefault="00F6758C" w:rsidP="00EE7673">
      <w:pPr>
        <w:jc w:val="center"/>
        <w:rPr>
          <w:b/>
        </w:rPr>
      </w:pPr>
    </w:p>
    <w:p w14:paraId="062A20E8" w14:textId="77777777" w:rsidR="00F6758C" w:rsidRDefault="00F6758C" w:rsidP="00EE7673">
      <w:pPr>
        <w:jc w:val="center"/>
        <w:rPr>
          <w:b/>
        </w:rPr>
      </w:pPr>
    </w:p>
    <w:p w14:paraId="193D27A5" w14:textId="77777777" w:rsidR="00F6758C" w:rsidRDefault="00F6758C" w:rsidP="00EE7673">
      <w:pPr>
        <w:jc w:val="center"/>
        <w:rPr>
          <w:b/>
        </w:rPr>
      </w:pPr>
    </w:p>
    <w:p w14:paraId="5A26A3BB" w14:textId="77777777" w:rsidR="00F6758C" w:rsidRDefault="00F6758C" w:rsidP="00EE7673">
      <w:pPr>
        <w:jc w:val="center"/>
        <w:rPr>
          <w:b/>
        </w:rPr>
      </w:pPr>
    </w:p>
    <w:p w14:paraId="187AE721" w14:textId="54D1B9E7" w:rsidR="0098730A" w:rsidRDefault="00B15B35" w:rsidP="00EE7673">
      <w:pPr>
        <w:jc w:val="center"/>
        <w:rPr>
          <w:b/>
        </w:rPr>
      </w:pPr>
      <w:r>
        <w:rPr>
          <w:b/>
        </w:rPr>
        <w:t>Best Practices for Teaching Writing in STEM</w:t>
      </w:r>
      <w:r w:rsidR="00F6758C">
        <w:rPr>
          <w:b/>
        </w:rPr>
        <w:t>:</w:t>
      </w:r>
    </w:p>
    <w:p w14:paraId="04E7F56D" w14:textId="77777777" w:rsidR="00F6758C" w:rsidRDefault="00F6758C" w:rsidP="00EE7673">
      <w:pPr>
        <w:jc w:val="center"/>
        <w:rPr>
          <w:b/>
        </w:rPr>
      </w:pPr>
    </w:p>
    <w:p w14:paraId="3399220D" w14:textId="77777777" w:rsidR="00F6758C" w:rsidRDefault="00F6758C" w:rsidP="00EE7673">
      <w:pPr>
        <w:jc w:val="center"/>
        <w:rPr>
          <w:b/>
        </w:rPr>
      </w:pPr>
      <w:r>
        <w:rPr>
          <w:b/>
        </w:rPr>
        <w:t xml:space="preserve">A Literature Survey and Case Study of </w:t>
      </w:r>
    </w:p>
    <w:p w14:paraId="41A57E38" w14:textId="77777777" w:rsidR="00F6758C" w:rsidRDefault="00F6758C" w:rsidP="00EE7673">
      <w:pPr>
        <w:jc w:val="center"/>
        <w:rPr>
          <w:b/>
        </w:rPr>
      </w:pPr>
    </w:p>
    <w:p w14:paraId="4CFE5A0E" w14:textId="1B9B1AC0" w:rsidR="00F6758C" w:rsidRDefault="00F6758C" w:rsidP="00EE7673">
      <w:pPr>
        <w:jc w:val="center"/>
        <w:rPr>
          <w:b/>
        </w:rPr>
      </w:pPr>
      <w:r>
        <w:rPr>
          <w:b/>
        </w:rPr>
        <w:t>San Jos</w:t>
      </w:r>
      <w:r w:rsidR="00CA732A">
        <w:rPr>
          <w:rFonts w:ascii="Calibri" w:hAnsi="Calibri"/>
          <w:b/>
        </w:rPr>
        <w:t>é</w:t>
      </w:r>
      <w:r>
        <w:rPr>
          <w:b/>
        </w:rPr>
        <w:t xml:space="preserve"> State University’s 100W Courses in STEM Disciplines</w:t>
      </w:r>
    </w:p>
    <w:p w14:paraId="0D6E7E89" w14:textId="77777777" w:rsidR="00F6758C" w:rsidRDefault="00F6758C" w:rsidP="00EE7673">
      <w:pPr>
        <w:jc w:val="center"/>
        <w:rPr>
          <w:b/>
        </w:rPr>
      </w:pPr>
    </w:p>
    <w:p w14:paraId="17641F04" w14:textId="77777777" w:rsidR="00F6758C" w:rsidRDefault="00F6758C" w:rsidP="00EE7673">
      <w:pPr>
        <w:jc w:val="center"/>
        <w:rPr>
          <w:b/>
        </w:rPr>
      </w:pPr>
    </w:p>
    <w:p w14:paraId="7706AD5F" w14:textId="77777777" w:rsidR="00F6758C" w:rsidRDefault="00F6758C" w:rsidP="00EE7673">
      <w:pPr>
        <w:jc w:val="center"/>
        <w:rPr>
          <w:b/>
        </w:rPr>
      </w:pPr>
    </w:p>
    <w:p w14:paraId="56361C4F" w14:textId="77777777" w:rsidR="00F6758C" w:rsidRDefault="00F6758C" w:rsidP="00EE7673">
      <w:pPr>
        <w:jc w:val="center"/>
        <w:rPr>
          <w:b/>
        </w:rPr>
      </w:pPr>
    </w:p>
    <w:p w14:paraId="74E8D3D8" w14:textId="77777777" w:rsidR="00F6758C" w:rsidRDefault="00F6758C" w:rsidP="00EE7673">
      <w:pPr>
        <w:jc w:val="center"/>
        <w:rPr>
          <w:b/>
        </w:rPr>
      </w:pPr>
    </w:p>
    <w:p w14:paraId="2313FACF" w14:textId="77777777" w:rsidR="00F6758C" w:rsidRDefault="00F6758C" w:rsidP="00EE7673">
      <w:pPr>
        <w:jc w:val="center"/>
        <w:rPr>
          <w:b/>
        </w:rPr>
      </w:pPr>
    </w:p>
    <w:p w14:paraId="50899C0F" w14:textId="77777777" w:rsidR="00F6758C" w:rsidRDefault="00F6758C" w:rsidP="00EE7673">
      <w:pPr>
        <w:jc w:val="center"/>
        <w:rPr>
          <w:b/>
        </w:rPr>
      </w:pPr>
    </w:p>
    <w:p w14:paraId="4A34C284" w14:textId="77777777" w:rsidR="00F6758C" w:rsidRDefault="00F6758C" w:rsidP="00EE7673">
      <w:pPr>
        <w:jc w:val="center"/>
        <w:rPr>
          <w:b/>
        </w:rPr>
      </w:pPr>
    </w:p>
    <w:p w14:paraId="65171E56" w14:textId="77777777" w:rsidR="00F6758C" w:rsidRDefault="00F6758C" w:rsidP="00EE7673">
      <w:pPr>
        <w:jc w:val="center"/>
        <w:rPr>
          <w:b/>
        </w:rPr>
      </w:pPr>
    </w:p>
    <w:p w14:paraId="42F3C805" w14:textId="77777777" w:rsidR="00F6758C" w:rsidRDefault="00F6758C" w:rsidP="00EE7673">
      <w:pPr>
        <w:jc w:val="center"/>
        <w:rPr>
          <w:b/>
        </w:rPr>
      </w:pPr>
    </w:p>
    <w:p w14:paraId="1D4D4E8C" w14:textId="77777777" w:rsidR="00F6758C" w:rsidRDefault="00F6758C" w:rsidP="00EE7673">
      <w:pPr>
        <w:jc w:val="center"/>
        <w:rPr>
          <w:b/>
        </w:rPr>
      </w:pPr>
    </w:p>
    <w:p w14:paraId="39CB0576" w14:textId="77777777" w:rsidR="00F6758C" w:rsidRDefault="00F6758C" w:rsidP="00EE7673">
      <w:pPr>
        <w:jc w:val="center"/>
        <w:rPr>
          <w:b/>
        </w:rPr>
      </w:pPr>
    </w:p>
    <w:p w14:paraId="3C9D46FA" w14:textId="77777777" w:rsidR="00F6758C" w:rsidRDefault="00F6758C" w:rsidP="00EE7673">
      <w:pPr>
        <w:jc w:val="center"/>
        <w:rPr>
          <w:b/>
        </w:rPr>
      </w:pPr>
    </w:p>
    <w:p w14:paraId="78B8A6C1" w14:textId="77777777" w:rsidR="00F6758C" w:rsidRDefault="00F6758C" w:rsidP="00EE7673">
      <w:pPr>
        <w:jc w:val="center"/>
        <w:rPr>
          <w:b/>
        </w:rPr>
      </w:pPr>
    </w:p>
    <w:p w14:paraId="5EE23452" w14:textId="77777777" w:rsidR="00F6758C" w:rsidRDefault="00F6758C" w:rsidP="00EE7673">
      <w:pPr>
        <w:jc w:val="center"/>
        <w:rPr>
          <w:b/>
        </w:rPr>
      </w:pPr>
    </w:p>
    <w:p w14:paraId="26FE1185" w14:textId="77777777" w:rsidR="00F6758C" w:rsidRDefault="00F6758C" w:rsidP="00EE7673">
      <w:pPr>
        <w:jc w:val="center"/>
        <w:rPr>
          <w:b/>
        </w:rPr>
      </w:pPr>
    </w:p>
    <w:p w14:paraId="7BF2EC16" w14:textId="77777777" w:rsidR="00F6758C" w:rsidRDefault="00F6758C" w:rsidP="00EE7673">
      <w:pPr>
        <w:jc w:val="center"/>
        <w:rPr>
          <w:b/>
        </w:rPr>
      </w:pPr>
    </w:p>
    <w:p w14:paraId="62F90DE8" w14:textId="56BEF1DC" w:rsidR="00F6758C" w:rsidRPr="00F6758C" w:rsidRDefault="00F6758C" w:rsidP="00EE7673">
      <w:pPr>
        <w:jc w:val="center"/>
      </w:pPr>
      <w:r w:rsidRPr="00F6758C">
        <w:t>By Shannon Bane</w:t>
      </w:r>
    </w:p>
    <w:p w14:paraId="1398E0BB" w14:textId="44650CFD" w:rsidR="00F6758C" w:rsidRPr="00F6758C" w:rsidRDefault="00F6758C" w:rsidP="00EE7673">
      <w:pPr>
        <w:jc w:val="center"/>
      </w:pPr>
      <w:r w:rsidRPr="00F6758C">
        <w:t>San Jos</w:t>
      </w:r>
      <w:r w:rsidR="00CA732A">
        <w:rPr>
          <w:rFonts w:ascii="Calibri" w:hAnsi="Calibri"/>
        </w:rPr>
        <w:t>é</w:t>
      </w:r>
      <w:r w:rsidRPr="00F6758C">
        <w:t xml:space="preserve"> State University</w:t>
      </w:r>
    </w:p>
    <w:p w14:paraId="670D2890" w14:textId="77777777" w:rsidR="00F6758C" w:rsidRPr="00F6758C" w:rsidRDefault="00F6758C" w:rsidP="00EE7673">
      <w:pPr>
        <w:jc w:val="center"/>
      </w:pPr>
      <w:r w:rsidRPr="00F6758C">
        <w:t>Writing Center</w:t>
      </w:r>
    </w:p>
    <w:p w14:paraId="079769B5" w14:textId="0BD33BB0" w:rsidR="00F6758C" w:rsidRPr="00F6758C" w:rsidRDefault="00F6758C" w:rsidP="00EE7673">
      <w:pPr>
        <w:jc w:val="center"/>
      </w:pPr>
      <w:r w:rsidRPr="00F6758C">
        <w:t>Faculty-in-Residence 2016-2017</w:t>
      </w:r>
    </w:p>
    <w:p w14:paraId="601DD3B9" w14:textId="315800DA" w:rsidR="00F6758C" w:rsidRDefault="00F6758C">
      <w:pPr>
        <w:rPr>
          <w:b/>
        </w:rPr>
      </w:pPr>
      <w:r>
        <w:rPr>
          <w:b/>
        </w:rPr>
        <w:br w:type="page"/>
      </w:r>
    </w:p>
    <w:p w14:paraId="18258496" w14:textId="77777777" w:rsidR="0098730A" w:rsidRDefault="0098730A" w:rsidP="00EE7673">
      <w:pPr>
        <w:jc w:val="center"/>
        <w:rPr>
          <w:b/>
        </w:rPr>
      </w:pPr>
    </w:p>
    <w:p w14:paraId="7750C872" w14:textId="6C3C3D13" w:rsidR="00633ADC" w:rsidRDefault="00633ADC" w:rsidP="0098730A">
      <w:pPr>
        <w:jc w:val="center"/>
        <w:rPr>
          <w:b/>
        </w:rPr>
      </w:pPr>
      <w:r>
        <w:rPr>
          <w:b/>
        </w:rPr>
        <w:t>Introduction</w:t>
      </w:r>
    </w:p>
    <w:p w14:paraId="47255750" w14:textId="77777777" w:rsidR="00042620" w:rsidRDefault="00042620">
      <w:pPr>
        <w:rPr>
          <w:b/>
        </w:rPr>
      </w:pPr>
    </w:p>
    <w:p w14:paraId="6B6FCE84" w14:textId="7BC41E00" w:rsidR="002643A6" w:rsidRDefault="002643A6" w:rsidP="00EE7673">
      <w:pPr>
        <w:jc w:val="center"/>
      </w:pPr>
      <w:r w:rsidRPr="00EE7673">
        <w:t>STEM Fields Provide Opportunities for Graduates</w:t>
      </w:r>
    </w:p>
    <w:p w14:paraId="2DBFD605" w14:textId="77777777" w:rsidR="00EE7673" w:rsidRPr="00EE7673" w:rsidRDefault="00EE7673" w:rsidP="00EE7673">
      <w:pPr>
        <w:jc w:val="center"/>
      </w:pPr>
    </w:p>
    <w:p w14:paraId="6DFC7A49" w14:textId="769A8337" w:rsidR="008F0975" w:rsidRDefault="001D7B9F">
      <w:r w:rsidRPr="001362DE">
        <w:t xml:space="preserve">Opportunities in </w:t>
      </w:r>
      <w:r w:rsidR="007A3368" w:rsidRPr="001362DE">
        <w:t>STEM</w:t>
      </w:r>
      <w:r w:rsidRPr="001362DE">
        <w:t xml:space="preserve"> (science, technology, engineering, and math) fields are </w:t>
      </w:r>
      <w:r w:rsidR="00C57B0C" w:rsidRPr="001362DE">
        <w:t>outpacing growth</w:t>
      </w:r>
      <w:r w:rsidRPr="001362DE">
        <w:t xml:space="preserve"> </w:t>
      </w:r>
      <w:r w:rsidR="00C57B0C" w:rsidRPr="001362DE">
        <w:t>in</w:t>
      </w:r>
      <w:r w:rsidRPr="001362DE">
        <w:t xml:space="preserve"> other job sectors; between 1960 and 2011, the number of </w:t>
      </w:r>
      <w:r w:rsidR="00960641">
        <w:t>employees</w:t>
      </w:r>
      <w:r w:rsidRPr="001362DE">
        <w:t xml:space="preserve"> in </w:t>
      </w:r>
      <w:r w:rsidR="00C57B0C" w:rsidRPr="001362DE">
        <w:t>STEM</w:t>
      </w:r>
      <w:r w:rsidRPr="001362DE">
        <w:t xml:space="preserve"> </w:t>
      </w:r>
      <w:r w:rsidR="00960641">
        <w:t>field</w:t>
      </w:r>
      <w:r w:rsidRPr="001362DE">
        <w:t xml:space="preserve">s grew </w:t>
      </w:r>
      <w:r w:rsidR="00A24544" w:rsidRPr="001362DE">
        <w:t>3.3%</w:t>
      </w:r>
      <w:r w:rsidR="00A24544">
        <w:t xml:space="preserve">, </w:t>
      </w:r>
      <w:r w:rsidR="00960641">
        <w:t>twice the</w:t>
      </w:r>
      <w:r w:rsidRPr="001362DE">
        <w:t xml:space="preserve"> average annual</w:t>
      </w:r>
      <w:r w:rsidR="00257B4E">
        <w:t xml:space="preserve"> growth</w:t>
      </w:r>
      <w:r w:rsidRPr="001362DE">
        <w:t xml:space="preserve"> rate of</w:t>
      </w:r>
      <w:r w:rsidR="00A24544">
        <w:t xml:space="preserve"> </w:t>
      </w:r>
      <w:r w:rsidRPr="001362DE">
        <w:t>1.5% for the total workforce (NSF 2014).</w:t>
      </w:r>
      <w:r>
        <w:t xml:space="preserve"> STEM employment survived the 2007-2009 downturn better than other occupations; employment, while slow, rose slightly, while the total workforce shrank during the same time period.</w:t>
      </w:r>
    </w:p>
    <w:p w14:paraId="44B5FCE3" w14:textId="77777777" w:rsidR="001D7B9F" w:rsidRDefault="001D7B9F"/>
    <w:p w14:paraId="6F7B835E" w14:textId="669D377F" w:rsidR="007A3368" w:rsidRDefault="008F0975" w:rsidP="007A3368">
      <w:r w:rsidRPr="001362DE">
        <w:t xml:space="preserve">Estimates of the science </w:t>
      </w:r>
      <w:r w:rsidR="001D7B9F" w:rsidRPr="001362DE">
        <w:t xml:space="preserve">and engineering </w:t>
      </w:r>
      <w:r w:rsidR="00CA732A">
        <w:t xml:space="preserve">(S&amp;E) </w:t>
      </w:r>
      <w:r w:rsidR="001D7B9F" w:rsidRPr="001362DE">
        <w:t>workforce range</w:t>
      </w:r>
      <w:r w:rsidRPr="001362DE">
        <w:t xml:space="preserve"> from approximately 5 million to </w:t>
      </w:r>
      <w:r w:rsidR="00A24544">
        <w:t>over</w:t>
      </w:r>
      <w:r w:rsidRPr="001362DE">
        <w:t xml:space="preserve"> 19 million</w:t>
      </w:r>
      <w:r w:rsidR="00C57B0C" w:rsidRPr="001362DE">
        <w:t>,</w:t>
      </w:r>
      <w:r w:rsidRPr="001362DE">
        <w:t xml:space="preserve"> depending on the definition used (NSF 2014). </w:t>
      </w:r>
      <w:r w:rsidR="00A24544">
        <w:t>I</w:t>
      </w:r>
      <w:r w:rsidRPr="001362DE">
        <w:t xml:space="preserve">n 2010, </w:t>
      </w:r>
      <w:r w:rsidR="00A24544">
        <w:t>approximately</w:t>
      </w:r>
      <w:r w:rsidRPr="001362DE">
        <w:t xml:space="preserve"> 5.4 million college graduates </w:t>
      </w:r>
      <w:r w:rsidR="00A24544">
        <w:t xml:space="preserve">were </w:t>
      </w:r>
      <w:r w:rsidRPr="001362DE">
        <w:t>employed in S&amp;E occupations</w:t>
      </w:r>
      <w:r w:rsidR="00A24544">
        <w:t xml:space="preserve"> in the US</w:t>
      </w:r>
      <w:r w:rsidRPr="001362DE">
        <w:t>: computer and math sciences (2.4 million), engineering (1.6 million), life sciences (597,000), social sciences (518,000)</w:t>
      </w:r>
      <w:r w:rsidR="004621E8">
        <w:t>,</w:t>
      </w:r>
      <w:r w:rsidRPr="001362DE">
        <w:t xml:space="preserve"> and physical sciences (320,000) (NSF 2014). </w:t>
      </w:r>
      <w:r w:rsidR="00A24544">
        <w:t>In addition to these specialized fields, S&amp;E knowledge</w:t>
      </w:r>
      <w:r w:rsidR="00257B4E">
        <w:t xml:space="preserve"> and skills are applied</w:t>
      </w:r>
      <w:r w:rsidRPr="001362DE">
        <w:t xml:space="preserve"> </w:t>
      </w:r>
      <w:r w:rsidR="00A24544">
        <w:t xml:space="preserve">throughout </w:t>
      </w:r>
      <w:r w:rsidRPr="001362DE">
        <w:t xml:space="preserve">the US economy. </w:t>
      </w:r>
      <w:r w:rsidR="00257B4E">
        <w:t xml:space="preserve">Over 16.5 million college-educated employees report that their job requires competency equivalent to </w:t>
      </w:r>
      <w:r w:rsidRPr="001362DE">
        <w:t xml:space="preserve">a bachelor’s degree level of technical expertise in one or more </w:t>
      </w:r>
      <w:r w:rsidR="00C57B0C" w:rsidRPr="001362DE">
        <w:t>STEM</w:t>
      </w:r>
      <w:r w:rsidR="00257B4E">
        <w:t xml:space="preserve"> fields (NSF 2014). This </w:t>
      </w:r>
      <w:r w:rsidRPr="001362DE">
        <w:t xml:space="preserve">is significantly higher than </w:t>
      </w:r>
      <w:r w:rsidR="00257B4E">
        <w:t>the 5.4 million employees with fo</w:t>
      </w:r>
      <w:r w:rsidRPr="001362DE">
        <w:t xml:space="preserve">rmal </w:t>
      </w:r>
      <w:r w:rsidR="00C57B0C" w:rsidRPr="001362DE">
        <w:t>STEM</w:t>
      </w:r>
      <w:r w:rsidR="00257B4E">
        <w:t xml:space="preserve"> titles </w:t>
      </w:r>
      <w:r w:rsidRPr="001362DE">
        <w:t>(NSF 2014).</w:t>
      </w:r>
      <w:r>
        <w:t xml:space="preserve"> </w:t>
      </w:r>
    </w:p>
    <w:p w14:paraId="6AAA4CB0" w14:textId="77777777" w:rsidR="007A3368" w:rsidRDefault="007A3368" w:rsidP="007A3368"/>
    <w:p w14:paraId="5877300F" w14:textId="3BCAC19C" w:rsidR="007A3368" w:rsidRDefault="007A3368" w:rsidP="007A3368">
      <w:r>
        <w:t xml:space="preserve">NSF reports </w:t>
      </w:r>
      <w:r w:rsidR="002D28D4">
        <w:t xml:space="preserve">that US universities awarded </w:t>
      </w:r>
      <w:r>
        <w:t>nearly 550,000 bachelor’s degrees in science and engineering fields in 2011, a</w:t>
      </w:r>
      <w:r w:rsidR="002D28D4">
        <w:t>n increase of</w:t>
      </w:r>
      <w:r>
        <w:t xml:space="preserve"> 39% since 2001 (NSF 2014). </w:t>
      </w:r>
      <w:r w:rsidR="002D28D4">
        <w:t xml:space="preserve">The largest number of STEM graduates were from </w:t>
      </w:r>
      <w:r w:rsidR="00804EB3">
        <w:t>California; its universities conferred</w:t>
      </w:r>
      <w:r w:rsidR="002D28D4">
        <w:t xml:space="preserve"> a total of 68,228 STEM undergraduate degrees in 2011 (NSF 2014).</w:t>
      </w:r>
      <w:r w:rsidR="00804EB3">
        <w:t xml:space="preserve"> </w:t>
      </w:r>
    </w:p>
    <w:p w14:paraId="273CDDC0" w14:textId="77777777" w:rsidR="0098730A" w:rsidRDefault="0098730A" w:rsidP="007A3368"/>
    <w:p w14:paraId="487ABCEF" w14:textId="3F6F2DCD" w:rsidR="008F0975" w:rsidRDefault="0098730A" w:rsidP="0098730A">
      <w:pPr>
        <w:jc w:val="center"/>
        <w:rPr>
          <w:b/>
        </w:rPr>
      </w:pPr>
      <w:r w:rsidRPr="0098730A">
        <w:rPr>
          <w:b/>
        </w:rPr>
        <w:t>Background</w:t>
      </w:r>
    </w:p>
    <w:p w14:paraId="6513E524" w14:textId="77777777" w:rsidR="0098730A" w:rsidRPr="0098730A" w:rsidRDefault="0098730A" w:rsidP="0098730A">
      <w:pPr>
        <w:jc w:val="center"/>
        <w:rPr>
          <w:b/>
        </w:rPr>
      </w:pPr>
    </w:p>
    <w:p w14:paraId="6BCF332C" w14:textId="62204C27" w:rsidR="002643A6" w:rsidRPr="00EE7673" w:rsidRDefault="002643A6" w:rsidP="00EE7673">
      <w:pPr>
        <w:jc w:val="center"/>
      </w:pPr>
      <w:r w:rsidRPr="00EE7673">
        <w:t>Need for Specialized Writing Instruction for STEM Majors in Higher Education</w:t>
      </w:r>
    </w:p>
    <w:p w14:paraId="0BBBACCA" w14:textId="77777777" w:rsidR="002643A6" w:rsidRDefault="002643A6"/>
    <w:p w14:paraId="747C9BBE" w14:textId="062825F1" w:rsidR="002643A6" w:rsidRDefault="00804EB3">
      <w:r>
        <w:t xml:space="preserve">STEM professions vary tremendously in scope and practice, as do their professional written communication needs and standards. This is reflected in the diversity of </w:t>
      </w:r>
      <w:r w:rsidR="00D87612">
        <w:t xml:space="preserve">genres developed for </w:t>
      </w:r>
      <w:r w:rsidR="00D51067">
        <w:t>these</w:t>
      </w:r>
      <w:r>
        <w:t xml:space="preserve"> </w:t>
      </w:r>
      <w:r w:rsidR="00D87612">
        <w:t>discipline</w:t>
      </w:r>
      <w:r w:rsidR="00D51067">
        <w:t>s</w:t>
      </w:r>
      <w:r>
        <w:t xml:space="preserve">, </w:t>
      </w:r>
      <w:r w:rsidR="00D87612">
        <w:t xml:space="preserve">and includes </w:t>
      </w:r>
      <w:r>
        <w:t>specific organization, language, and style</w:t>
      </w:r>
      <w:r w:rsidR="00D51067">
        <w:t xml:space="preserve">, intended for specific </w:t>
      </w:r>
      <w:r w:rsidR="006958FF">
        <w:t xml:space="preserve">purpose, </w:t>
      </w:r>
      <w:r w:rsidR="00D51067">
        <w:t>recipients</w:t>
      </w:r>
      <w:r w:rsidR="006958FF">
        <w:t>,</w:t>
      </w:r>
      <w:r w:rsidR="00D51067">
        <w:t xml:space="preserve"> and/or audiences (e.g., clients, professionals, journals, publication</w:t>
      </w:r>
      <w:r w:rsidR="0021123A">
        <w:t>s</w:t>
      </w:r>
      <w:r w:rsidR="00D51067">
        <w:t>)</w:t>
      </w:r>
      <w:r w:rsidR="00D87612">
        <w:t xml:space="preserve">. </w:t>
      </w:r>
      <w:r>
        <w:t xml:space="preserve">STEM </w:t>
      </w:r>
      <w:r w:rsidR="00AB4EA3">
        <w:t>graduates</w:t>
      </w:r>
      <w:r>
        <w:t xml:space="preserve"> must be prepared to write </w:t>
      </w:r>
      <w:r w:rsidR="00AB4EA3">
        <w:t xml:space="preserve">these </w:t>
      </w:r>
      <w:r>
        <w:t>academic and/or professional documents as practitioners within the</w:t>
      </w:r>
      <w:r w:rsidR="00D87612">
        <w:t>ir specific</w:t>
      </w:r>
      <w:r w:rsidR="006958FF">
        <w:t xml:space="preserve"> field; these documents </w:t>
      </w:r>
      <w:r w:rsidR="00B71FA5">
        <w:t>include</w:t>
      </w:r>
      <w:r>
        <w:t xml:space="preserve"> </w:t>
      </w:r>
    </w:p>
    <w:p w14:paraId="72CFDEB3" w14:textId="1DCD97E6" w:rsidR="00640882" w:rsidRDefault="00CA732A" w:rsidP="00A7396B">
      <w:pPr>
        <w:pStyle w:val="ListParagraph"/>
        <w:numPr>
          <w:ilvl w:val="1"/>
          <w:numId w:val="10"/>
        </w:numPr>
      </w:pPr>
      <w:r>
        <w:t>proposals</w:t>
      </w:r>
      <w:r w:rsidR="00D11932">
        <w:t>,</w:t>
      </w:r>
    </w:p>
    <w:p w14:paraId="1D9C1965" w14:textId="73BE57B1" w:rsidR="00640882" w:rsidRDefault="00CA732A" w:rsidP="00A7396B">
      <w:pPr>
        <w:pStyle w:val="ListParagraph"/>
        <w:numPr>
          <w:ilvl w:val="1"/>
          <w:numId w:val="10"/>
        </w:numPr>
      </w:pPr>
      <w:r>
        <w:t>grants</w:t>
      </w:r>
      <w:r w:rsidR="00D11932">
        <w:t>,</w:t>
      </w:r>
    </w:p>
    <w:p w14:paraId="0C9D6D4F" w14:textId="0C188EEA" w:rsidR="00917C0C" w:rsidRDefault="00CA732A" w:rsidP="00A7396B">
      <w:pPr>
        <w:pStyle w:val="ListParagraph"/>
        <w:numPr>
          <w:ilvl w:val="1"/>
          <w:numId w:val="10"/>
        </w:numPr>
      </w:pPr>
      <w:r>
        <w:t xml:space="preserve">scientific </w:t>
      </w:r>
      <w:r w:rsidR="00917C0C">
        <w:t>journal articles</w:t>
      </w:r>
      <w:r w:rsidR="00640882">
        <w:t xml:space="preserve"> (includes abstracts)</w:t>
      </w:r>
      <w:r w:rsidR="00D11932">
        <w:t>,</w:t>
      </w:r>
    </w:p>
    <w:p w14:paraId="0E67662D" w14:textId="1D0E2354" w:rsidR="00917C0C" w:rsidRDefault="00CA732A" w:rsidP="00A7396B">
      <w:pPr>
        <w:pStyle w:val="ListParagraph"/>
        <w:numPr>
          <w:ilvl w:val="1"/>
          <w:numId w:val="10"/>
        </w:numPr>
      </w:pPr>
      <w:r>
        <w:t xml:space="preserve">environmental </w:t>
      </w:r>
      <w:r w:rsidR="00917C0C">
        <w:t>literature</w:t>
      </w:r>
      <w:r w:rsidR="00D11932">
        <w:t>,</w:t>
      </w:r>
    </w:p>
    <w:p w14:paraId="2301AEE0" w14:textId="40195A3C" w:rsidR="00917C0C" w:rsidRDefault="00CA732A" w:rsidP="00A7396B">
      <w:pPr>
        <w:pStyle w:val="ListParagraph"/>
        <w:numPr>
          <w:ilvl w:val="1"/>
          <w:numId w:val="10"/>
        </w:numPr>
      </w:pPr>
      <w:r>
        <w:t xml:space="preserve">grant </w:t>
      </w:r>
      <w:r w:rsidR="00917C0C">
        <w:t>writing</w:t>
      </w:r>
      <w:r w:rsidR="00D11932">
        <w:t>,</w:t>
      </w:r>
    </w:p>
    <w:p w14:paraId="479A0851" w14:textId="08BAF97A" w:rsidR="00917C0C" w:rsidRDefault="00CA732A" w:rsidP="00A7396B">
      <w:pPr>
        <w:pStyle w:val="ListParagraph"/>
        <w:numPr>
          <w:ilvl w:val="1"/>
          <w:numId w:val="10"/>
        </w:numPr>
      </w:pPr>
      <w:r>
        <w:t>emails</w:t>
      </w:r>
      <w:r w:rsidR="00917C0C">
        <w:t>/memos</w:t>
      </w:r>
      <w:r w:rsidR="00D11932">
        <w:t>,</w:t>
      </w:r>
    </w:p>
    <w:p w14:paraId="62FE066C" w14:textId="356ED1AF" w:rsidR="00917C0C" w:rsidRDefault="00CA732A" w:rsidP="00A7396B">
      <w:pPr>
        <w:pStyle w:val="ListParagraph"/>
        <w:numPr>
          <w:ilvl w:val="1"/>
          <w:numId w:val="10"/>
        </w:numPr>
      </w:pPr>
      <w:r>
        <w:t xml:space="preserve">compliance </w:t>
      </w:r>
      <w:r w:rsidR="00917C0C">
        <w:t>documents (legal)</w:t>
      </w:r>
      <w:r w:rsidR="00D11932">
        <w:t>, and</w:t>
      </w:r>
    </w:p>
    <w:p w14:paraId="51098C5A" w14:textId="7D2FA1CD" w:rsidR="00640882" w:rsidRDefault="00CA732A" w:rsidP="00A7396B">
      <w:pPr>
        <w:pStyle w:val="ListParagraph"/>
        <w:numPr>
          <w:ilvl w:val="1"/>
          <w:numId w:val="10"/>
        </w:numPr>
      </w:pPr>
      <w:r>
        <w:t xml:space="preserve">product </w:t>
      </w:r>
      <w:r w:rsidR="00917C0C">
        <w:t>specifications</w:t>
      </w:r>
      <w:r w:rsidR="00D11932">
        <w:t>.</w:t>
      </w:r>
      <w:r w:rsidR="00640882" w:rsidRPr="00640882">
        <w:t xml:space="preserve"> </w:t>
      </w:r>
    </w:p>
    <w:p w14:paraId="7F0643D5" w14:textId="77777777" w:rsidR="00D11932" w:rsidRDefault="00D11932" w:rsidP="00D11932">
      <w:pPr>
        <w:pStyle w:val="ListParagraph"/>
        <w:ind w:left="775"/>
      </w:pPr>
    </w:p>
    <w:p w14:paraId="2C9724F3" w14:textId="40C39D09" w:rsidR="00E5378C" w:rsidRDefault="00E5378C" w:rsidP="00E5378C">
      <w:r>
        <w:t>In contrast to highly</w:t>
      </w:r>
      <w:r w:rsidR="00CA732A">
        <w:t xml:space="preserve"> </w:t>
      </w:r>
      <w:r>
        <w:t>purposed and specialized professional writing, writing in universities must also be used to evaluate proficient understanding and communication of content, synthesis of ideas, and/or ability to identify and use genre, form/style, and formatting. Although students are asked to write using a variety of formats, often designed to mimic or teach either academic or professional writing format, style, and language, some assignments are purely for assessment. Assignments typically assigned to university students include</w:t>
      </w:r>
    </w:p>
    <w:p w14:paraId="3D715618" w14:textId="6D0A5E5D" w:rsidR="00E5378C" w:rsidRDefault="00CA732A" w:rsidP="00E5378C">
      <w:pPr>
        <w:pStyle w:val="ListParagraph"/>
        <w:numPr>
          <w:ilvl w:val="1"/>
          <w:numId w:val="10"/>
        </w:numPr>
      </w:pPr>
      <w:r>
        <w:t>essays</w:t>
      </w:r>
      <w:r w:rsidR="00E5378C">
        <w:t>,</w:t>
      </w:r>
    </w:p>
    <w:p w14:paraId="4000AC10" w14:textId="04A7723C" w:rsidR="00E5378C" w:rsidRDefault="00CA732A" w:rsidP="00E5378C">
      <w:pPr>
        <w:pStyle w:val="ListParagraph"/>
        <w:numPr>
          <w:ilvl w:val="1"/>
          <w:numId w:val="10"/>
        </w:numPr>
      </w:pPr>
      <w:r>
        <w:t xml:space="preserve">research </w:t>
      </w:r>
      <w:r w:rsidR="00E5378C">
        <w:t>papers,</w:t>
      </w:r>
    </w:p>
    <w:p w14:paraId="74D5B761" w14:textId="605B8DDE" w:rsidR="00E5378C" w:rsidRDefault="00CA732A" w:rsidP="00E5378C">
      <w:pPr>
        <w:pStyle w:val="ListParagraph"/>
        <w:numPr>
          <w:ilvl w:val="1"/>
          <w:numId w:val="10"/>
        </w:numPr>
      </w:pPr>
      <w:r>
        <w:t xml:space="preserve">literature </w:t>
      </w:r>
      <w:r w:rsidR="00E5378C">
        <w:t>reviews,</w:t>
      </w:r>
    </w:p>
    <w:p w14:paraId="45E8EEB6" w14:textId="0FFE6B4C" w:rsidR="00E5378C" w:rsidRDefault="00CA732A" w:rsidP="00E5378C">
      <w:pPr>
        <w:pStyle w:val="ListParagraph"/>
        <w:numPr>
          <w:ilvl w:val="1"/>
          <w:numId w:val="10"/>
        </w:numPr>
      </w:pPr>
      <w:r>
        <w:t>proposals</w:t>
      </w:r>
      <w:r w:rsidR="00E5378C">
        <w:t>,</w:t>
      </w:r>
    </w:p>
    <w:p w14:paraId="141A9A4E" w14:textId="2AAC1C8E" w:rsidR="00E5378C" w:rsidRDefault="00CA732A" w:rsidP="00E5378C">
      <w:pPr>
        <w:pStyle w:val="ListParagraph"/>
        <w:numPr>
          <w:ilvl w:val="1"/>
          <w:numId w:val="10"/>
        </w:numPr>
      </w:pPr>
      <w:r>
        <w:t>abstracts</w:t>
      </w:r>
      <w:r w:rsidR="00E5378C">
        <w:t>,</w:t>
      </w:r>
    </w:p>
    <w:p w14:paraId="5B9E622C" w14:textId="72B9C16B" w:rsidR="00E5378C" w:rsidRDefault="00CA732A" w:rsidP="00E5378C">
      <w:pPr>
        <w:pStyle w:val="ListParagraph"/>
        <w:numPr>
          <w:ilvl w:val="1"/>
          <w:numId w:val="10"/>
        </w:numPr>
      </w:pPr>
      <w:r>
        <w:t xml:space="preserve">lab </w:t>
      </w:r>
      <w:r w:rsidR="00E5378C">
        <w:t>reports,</w:t>
      </w:r>
    </w:p>
    <w:p w14:paraId="662928E5" w14:textId="30787E82" w:rsidR="00E5378C" w:rsidRDefault="00CA732A" w:rsidP="00E5378C">
      <w:pPr>
        <w:pStyle w:val="ListParagraph"/>
        <w:numPr>
          <w:ilvl w:val="1"/>
          <w:numId w:val="10"/>
        </w:numPr>
      </w:pPr>
      <w:r>
        <w:t>critiques</w:t>
      </w:r>
      <w:r w:rsidR="00E5378C">
        <w:t>,</w:t>
      </w:r>
    </w:p>
    <w:p w14:paraId="5412BD25" w14:textId="51D39541" w:rsidR="00E5378C" w:rsidRDefault="00CA732A" w:rsidP="00E5378C">
      <w:pPr>
        <w:pStyle w:val="ListParagraph"/>
        <w:numPr>
          <w:ilvl w:val="1"/>
          <w:numId w:val="10"/>
        </w:numPr>
      </w:pPr>
      <w:r>
        <w:t>emails</w:t>
      </w:r>
      <w:r w:rsidR="00E5378C">
        <w:t>/memos, and</w:t>
      </w:r>
    </w:p>
    <w:p w14:paraId="6DEF1A1E" w14:textId="782FFB8A" w:rsidR="00E5378C" w:rsidRDefault="00CA732A" w:rsidP="00E5378C">
      <w:pPr>
        <w:pStyle w:val="ListParagraph"/>
        <w:numPr>
          <w:ilvl w:val="1"/>
          <w:numId w:val="10"/>
        </w:numPr>
      </w:pPr>
      <w:r>
        <w:t>grants</w:t>
      </w:r>
      <w:r w:rsidR="00E5378C">
        <w:t>.</w:t>
      </w:r>
    </w:p>
    <w:p w14:paraId="08C9DD66" w14:textId="77777777" w:rsidR="00E5378C" w:rsidRDefault="00E5378C" w:rsidP="006958FF"/>
    <w:p w14:paraId="616F0724" w14:textId="6F2ED106" w:rsidR="006958FF" w:rsidRDefault="006958FF" w:rsidP="006958FF">
      <w:r>
        <w:t xml:space="preserve">Education provided by universities preparing students </w:t>
      </w:r>
      <w:r w:rsidR="00E5378C">
        <w:t xml:space="preserve">for careers in STEM fields aims to </w:t>
      </w:r>
      <w:r>
        <w:t xml:space="preserve">provide </w:t>
      </w:r>
      <w:r w:rsidR="00CA732A">
        <w:t xml:space="preserve">the </w:t>
      </w:r>
      <w:r>
        <w:t xml:space="preserve">theory, content, and communication skills necessary for success in </w:t>
      </w:r>
      <w:r w:rsidR="00766245">
        <w:t>these</w:t>
      </w:r>
      <w:r>
        <w:t xml:space="preserve"> fields, </w:t>
      </w:r>
      <w:r w:rsidR="006C61E9">
        <w:t>while also meeting</w:t>
      </w:r>
      <w:r>
        <w:t xml:space="preserve"> both broader university and specific departmental goals and requirements. Students typically enroll in a general writing course for freshman and a departmental or genre-specific writing course as a junior. General writing classes </w:t>
      </w:r>
      <w:r w:rsidR="006C61E9">
        <w:t>are designed to improve</w:t>
      </w:r>
      <w:r>
        <w:t xml:space="preserve"> grammar and syntax, language, organization, rhetoric, and information literacy</w:t>
      </w:r>
      <w:r w:rsidR="00766245">
        <w:t>, and are often taught by faculty within or affiliated with university English departments</w:t>
      </w:r>
      <w:r>
        <w:t xml:space="preserve">. </w:t>
      </w:r>
      <w:r w:rsidR="006C61E9">
        <w:t xml:space="preserve">To prepare students </w:t>
      </w:r>
      <w:r w:rsidR="00766245">
        <w:t xml:space="preserve">in STEM majors </w:t>
      </w:r>
      <w:r w:rsidR="006C61E9">
        <w:t>for their transition from student to practitioner</w:t>
      </w:r>
      <w:r>
        <w:t xml:space="preserve">, </w:t>
      </w:r>
      <w:r w:rsidR="00CA732A">
        <w:t>upper-</w:t>
      </w:r>
      <w:r>
        <w:t xml:space="preserve">division general education or specialized classes also focus on </w:t>
      </w:r>
      <w:r w:rsidR="00766245">
        <w:t>mastery of specialized theory and content,</w:t>
      </w:r>
      <w:r>
        <w:t xml:space="preserve"> disciplinary literacy (thinking and writing like a “professional in that specific field”)</w:t>
      </w:r>
      <w:r w:rsidR="00766245">
        <w:t>,</w:t>
      </w:r>
      <w:r>
        <w:t xml:space="preserve"> and content literacy (how to understand genre-specific writing)</w:t>
      </w:r>
      <w:r w:rsidR="00951F30">
        <w:t xml:space="preserve"> (</w:t>
      </w:r>
      <w:r w:rsidR="00C57B0C">
        <w:t>Ruzycki 2015</w:t>
      </w:r>
      <w:r w:rsidR="00951F30">
        <w:t>)</w:t>
      </w:r>
      <w:r>
        <w:t>.</w:t>
      </w:r>
      <w:r w:rsidRPr="001A24BA">
        <w:t xml:space="preserve"> </w:t>
      </w:r>
      <w:r w:rsidR="00766245">
        <w:t xml:space="preserve">The integration of these goals </w:t>
      </w:r>
      <w:r w:rsidR="00AF6855">
        <w:t xml:space="preserve">necessitates </w:t>
      </w:r>
      <w:r w:rsidR="00951F30">
        <w:t>specialized writing instruction</w:t>
      </w:r>
      <w:r w:rsidR="00AF6855">
        <w:t xml:space="preserve"> to provide the student with appropriate training in</w:t>
      </w:r>
      <w:r w:rsidR="00766245">
        <w:t xml:space="preserve"> speci</w:t>
      </w:r>
      <w:r w:rsidR="00AF6855">
        <w:t>fic</w:t>
      </w:r>
      <w:r w:rsidR="00766245">
        <w:t xml:space="preserve"> language</w:t>
      </w:r>
      <w:r w:rsidR="00AF6855">
        <w:t>,</w:t>
      </w:r>
      <w:r w:rsidR="00766245">
        <w:t xml:space="preserve"> writing</w:t>
      </w:r>
      <w:r w:rsidR="00AF6855" w:rsidRPr="00AF6855">
        <w:t xml:space="preserve"> </w:t>
      </w:r>
      <w:r w:rsidR="00AF6855">
        <w:t>styles, and document production.</w:t>
      </w:r>
    </w:p>
    <w:p w14:paraId="0971AAB8" w14:textId="77777777" w:rsidR="00640882" w:rsidRDefault="00640882" w:rsidP="00640882"/>
    <w:p w14:paraId="25802690" w14:textId="5A5DF33B" w:rsidR="00E5378C" w:rsidRPr="00EE7673" w:rsidRDefault="001F13E8" w:rsidP="00EE7673">
      <w:pPr>
        <w:jc w:val="center"/>
      </w:pPr>
      <w:r w:rsidRPr="00EE7673">
        <w:t xml:space="preserve">Challenges Encountered by Faculty </w:t>
      </w:r>
      <w:r w:rsidR="00E46338" w:rsidRPr="00EE7673">
        <w:t>Teaching Writing</w:t>
      </w:r>
    </w:p>
    <w:p w14:paraId="5DAFDE4A" w14:textId="77777777" w:rsidR="008840C1" w:rsidRDefault="008840C1"/>
    <w:p w14:paraId="2D9F85D9" w14:textId="4D7969D0" w:rsidR="00EE6C31" w:rsidRDefault="00126050">
      <w:r>
        <w:t xml:space="preserve">Although both faculty and students value writing in education, they also acknowledge that undergraduate students enter college lacking writing skills and often do not improve throughout their post-secondary education (Fallahi, Wood, and Austad 2006). This is one of many challenges faced by </w:t>
      </w:r>
      <w:r w:rsidR="006C6E5F">
        <w:t xml:space="preserve">professors </w:t>
      </w:r>
      <w:r w:rsidR="00CA732A">
        <w:t xml:space="preserve">who </w:t>
      </w:r>
      <w:r w:rsidR="006C6E5F">
        <w:t xml:space="preserve">teach </w:t>
      </w:r>
      <w:r w:rsidR="00FF06C1">
        <w:t xml:space="preserve">general </w:t>
      </w:r>
      <w:r w:rsidR="006C6E5F">
        <w:t>w</w:t>
      </w:r>
      <w:r>
        <w:t xml:space="preserve">riting </w:t>
      </w:r>
      <w:r w:rsidR="00FF06C1">
        <w:t>classes at universities</w:t>
      </w:r>
      <w:r>
        <w:t xml:space="preserve">. </w:t>
      </w:r>
    </w:p>
    <w:p w14:paraId="4CE13443" w14:textId="77777777" w:rsidR="001F13E8" w:rsidRDefault="001F13E8" w:rsidP="001F13E8"/>
    <w:p w14:paraId="0F2870EC" w14:textId="4CECD2C2" w:rsidR="008E7D55" w:rsidRDefault="000C54DB" w:rsidP="008E7D55">
      <w:r>
        <w:t>The most common challenge</w:t>
      </w:r>
      <w:r w:rsidR="00AA0A32">
        <w:t xml:space="preserve"> faced by faculty t</w:t>
      </w:r>
      <w:r w:rsidR="00462BB1">
        <w:t xml:space="preserve">eaching writing classes </w:t>
      </w:r>
      <w:r>
        <w:t>is</w:t>
      </w:r>
      <w:r w:rsidR="00AA0A32">
        <w:t xml:space="preserve"> the large time commitment needed to grade papers </w:t>
      </w:r>
      <w:r>
        <w:t>in contrast</w:t>
      </w:r>
      <w:r w:rsidR="00AA0A32">
        <w:t xml:space="preserve"> to other kinds of assignments</w:t>
      </w:r>
      <w:r w:rsidR="00EF4266" w:rsidRPr="00EF4266">
        <w:t xml:space="preserve"> </w:t>
      </w:r>
      <w:r w:rsidR="00EF4266">
        <w:t>(Fallahi, Wood, and Austad 2006)</w:t>
      </w:r>
      <w:r w:rsidR="00AA0A32">
        <w:t xml:space="preserve">. </w:t>
      </w:r>
      <w:r>
        <w:t>In addition, t</w:t>
      </w:r>
      <w:r w:rsidR="00AA0A32">
        <w:t>he range of writing abilities and experience can vary tremend</w:t>
      </w:r>
      <w:r w:rsidR="00462BB1">
        <w:t>ously among students in a class</w:t>
      </w:r>
      <w:r w:rsidR="008F0BC1">
        <w:t xml:space="preserve">, and in some classes, international students and/or students for which English is not a first language </w:t>
      </w:r>
      <w:r w:rsidR="00AF0947">
        <w:t xml:space="preserve">may </w:t>
      </w:r>
      <w:r w:rsidR="008F0BC1">
        <w:t>need specialized support</w:t>
      </w:r>
      <w:r>
        <w:t xml:space="preserve">, which faculty may not have the training or comfort level to provide. Additional skills needed for writing, </w:t>
      </w:r>
      <w:r>
        <w:lastRenderedPageBreak/>
        <w:t xml:space="preserve">including </w:t>
      </w:r>
      <w:r w:rsidR="00462BB1">
        <w:t>information literacy (research)</w:t>
      </w:r>
      <w:r>
        <w:t>, have changed substantially with the developing technology, and may require collaborations with librarians or information technology faculty</w:t>
      </w:r>
      <w:r w:rsidR="00462BB1">
        <w:t xml:space="preserve"> (Fister</w:t>
      </w:r>
      <w:r w:rsidR="0010204C">
        <w:t xml:space="preserve"> 1993</w:t>
      </w:r>
      <w:r w:rsidR="00462BB1">
        <w:t xml:space="preserve">). </w:t>
      </w:r>
    </w:p>
    <w:p w14:paraId="735F8FBB" w14:textId="77777777" w:rsidR="00AA0A32" w:rsidRDefault="00AA0A32" w:rsidP="008E7D55"/>
    <w:p w14:paraId="3A1B7DBF" w14:textId="2F275ADB" w:rsidR="000D701C" w:rsidRDefault="008E7D55" w:rsidP="00405635">
      <w:r>
        <w:t xml:space="preserve">Additional challenges </w:t>
      </w:r>
      <w:r w:rsidR="00071C5B">
        <w:t xml:space="preserve">arise </w:t>
      </w:r>
      <w:r>
        <w:t>from discrepancies</w:t>
      </w:r>
      <w:r w:rsidR="0049559D">
        <w:t xml:space="preserve"> between </w:t>
      </w:r>
      <w:r>
        <w:t xml:space="preserve">faculty and student expectations and/or </w:t>
      </w:r>
      <w:r w:rsidR="0049559D">
        <w:t>understanding of the assignment</w:t>
      </w:r>
      <w:r>
        <w:t>, which can</w:t>
      </w:r>
      <w:r w:rsidR="0049559D">
        <w:t xml:space="preserve"> lead to disappointment in </w:t>
      </w:r>
      <w:r w:rsidR="000D701C">
        <w:t>the type or quality of work</w:t>
      </w:r>
      <w:r w:rsidR="0049559D">
        <w:t xml:space="preserve"> turned in and the grade that is received</w:t>
      </w:r>
      <w:r w:rsidR="000B1FE0">
        <w:t xml:space="preserve"> (Nelson and Hayes 1988</w:t>
      </w:r>
      <w:r w:rsidR="00CA28EB">
        <w:t xml:space="preserve">; </w:t>
      </w:r>
      <w:r w:rsidR="003E517E">
        <w:t>Wingate, Andon, Cogo 2011; Lea and Street 1998</w:t>
      </w:r>
      <w:r w:rsidR="000B1FE0">
        <w:t>)</w:t>
      </w:r>
      <w:r w:rsidR="0049559D">
        <w:t>.</w:t>
      </w:r>
      <w:r w:rsidR="0049559D" w:rsidRPr="0049559D">
        <w:t xml:space="preserve"> </w:t>
      </w:r>
      <w:r w:rsidR="00071C5B">
        <w:t>S</w:t>
      </w:r>
      <w:r w:rsidR="0049559D">
        <w:t xml:space="preserve">tudents </w:t>
      </w:r>
      <w:r w:rsidR="00071C5B">
        <w:t xml:space="preserve">often </w:t>
      </w:r>
      <w:r w:rsidR="0049559D">
        <w:t>se</w:t>
      </w:r>
      <w:r w:rsidR="00050839">
        <w:t xml:space="preserve">e papers as tasks to accomplish, in which they provide information and facts to a professor </w:t>
      </w:r>
      <w:r w:rsidR="00CA732A">
        <w:t xml:space="preserve">who </w:t>
      </w:r>
      <w:r w:rsidR="00050839">
        <w:t>already knows about the subject</w:t>
      </w:r>
      <w:r w:rsidR="00604DF0">
        <w:t>; these students often report writing assignments as “boring” or “pointless”</w:t>
      </w:r>
      <w:r w:rsidR="00604DF0" w:rsidRPr="00604DF0">
        <w:t xml:space="preserve"> </w:t>
      </w:r>
      <w:r w:rsidR="00604DF0">
        <w:t>(Nelson and Hayes 1988). I</w:t>
      </w:r>
      <w:r w:rsidR="00933CCC">
        <w:t xml:space="preserve">n </w:t>
      </w:r>
      <w:r w:rsidR="00604DF0">
        <w:t>fac</w:t>
      </w:r>
      <w:r w:rsidR="00933CCC">
        <w:t>t</w:t>
      </w:r>
      <w:r w:rsidR="00604DF0">
        <w:t xml:space="preserve">, </w:t>
      </w:r>
      <w:r w:rsidR="0036541E">
        <w:t xml:space="preserve">faculty intention </w:t>
      </w:r>
      <w:r w:rsidR="00604DF0">
        <w:t xml:space="preserve">for writing assignments is </w:t>
      </w:r>
      <w:r w:rsidR="0036541E">
        <w:t>for students to</w:t>
      </w:r>
      <w:r>
        <w:t xml:space="preserve"> </w:t>
      </w:r>
      <w:r w:rsidR="0036541E">
        <w:t>learn</w:t>
      </w:r>
      <w:r w:rsidR="0049559D">
        <w:t xml:space="preserve"> </w:t>
      </w:r>
      <w:r>
        <w:t xml:space="preserve">and </w:t>
      </w:r>
      <w:r w:rsidR="0036541E">
        <w:t xml:space="preserve">improve their </w:t>
      </w:r>
      <w:r>
        <w:t xml:space="preserve">writing </w:t>
      </w:r>
      <w:r w:rsidR="0036541E">
        <w:t xml:space="preserve">process and </w:t>
      </w:r>
      <w:r w:rsidR="00050839">
        <w:t xml:space="preserve">analyze and interpret the information they are interacting with (Nelson and Hayes 1988). </w:t>
      </w:r>
      <w:r w:rsidR="00604DF0">
        <w:t xml:space="preserve">When faculty and student expectations do not align, </w:t>
      </w:r>
      <w:r w:rsidR="00050839">
        <w:t xml:space="preserve">students </w:t>
      </w:r>
      <w:r w:rsidR="00405635">
        <w:t>fail to achieve the objectives of the assignments.</w:t>
      </w:r>
      <w:r w:rsidR="0010204C">
        <w:t xml:space="preserve"> Students also </w:t>
      </w:r>
      <w:r w:rsidR="00071C5B">
        <w:t>develop low investment strategies to complete research and writing when they feel that assignments are not clear, if they procrastinate or want to spend minimal amount of time writing, or if faculty does not intervene or interact with them during the writing process (Nelson and Hayes 1988)</w:t>
      </w:r>
      <w:r w:rsidR="0010204C">
        <w:t>.</w:t>
      </w:r>
    </w:p>
    <w:p w14:paraId="4F289AAC" w14:textId="77777777" w:rsidR="000D701C" w:rsidRDefault="000D701C" w:rsidP="00405635"/>
    <w:p w14:paraId="4855FE9B" w14:textId="49C7A279" w:rsidR="0049559D" w:rsidRDefault="0036541E" w:rsidP="00405635">
      <w:r>
        <w:t>Lastly, s</w:t>
      </w:r>
      <w:r w:rsidR="00405635">
        <w:t xml:space="preserve">tudents </w:t>
      </w:r>
      <w:r w:rsidR="008A722F">
        <w:t xml:space="preserve">often do not read comments on papers returned at the end of the quarter/semester, and for papers returned at other times, </w:t>
      </w:r>
      <w:r w:rsidR="001F502E">
        <w:t xml:space="preserve">they </w:t>
      </w:r>
      <w:r w:rsidR="008349A1">
        <w:t xml:space="preserve">report not </w:t>
      </w:r>
      <w:r w:rsidR="00405635">
        <w:t>understand</w:t>
      </w:r>
      <w:r w:rsidR="008349A1">
        <w:t>ing</w:t>
      </w:r>
      <w:r w:rsidR="00405635">
        <w:t xml:space="preserve"> instructor comments on their writing</w:t>
      </w:r>
      <w:r w:rsidR="008349A1">
        <w:t xml:space="preserve"> </w:t>
      </w:r>
      <w:r w:rsidR="008A722F">
        <w:t xml:space="preserve">and do not seek out clarification, </w:t>
      </w:r>
      <w:r w:rsidR="008349A1">
        <w:t>making future efforts less likely to be successful</w:t>
      </w:r>
      <w:r w:rsidR="00405635">
        <w:t xml:space="preserve"> (Wingate, Andon, and Cogo 2011; Hounsell 1987).</w:t>
      </w:r>
      <w:r w:rsidR="008349A1">
        <w:t xml:space="preserve"> </w:t>
      </w:r>
      <w:r w:rsidR="00405635">
        <w:t>Over time, failure to address these discrepancies result in recurring p</w:t>
      </w:r>
      <w:r w:rsidR="0049559D">
        <w:t xml:space="preserve">atterns of mistakes </w:t>
      </w:r>
      <w:r w:rsidR="00405635">
        <w:t>that</w:t>
      </w:r>
      <w:r w:rsidR="0049559D">
        <w:t xml:space="preserve"> seem to continue with the student through their education</w:t>
      </w:r>
      <w:r w:rsidR="000D701C">
        <w:t>, even into graduate school</w:t>
      </w:r>
      <w:r w:rsidR="000B1FE0">
        <w:t xml:space="preserve"> (Fallahi, Wood, Austad 2006; Gambell 1984)</w:t>
      </w:r>
      <w:r w:rsidR="0049559D">
        <w:t>.</w:t>
      </w:r>
    </w:p>
    <w:p w14:paraId="2615696F" w14:textId="77777777" w:rsidR="0049559D" w:rsidRDefault="0049559D" w:rsidP="0049559D"/>
    <w:p w14:paraId="1E7A9B19" w14:textId="6A73D93C" w:rsidR="0049559D" w:rsidRPr="008840C1" w:rsidRDefault="00593917" w:rsidP="008840C1">
      <w:pPr>
        <w:jc w:val="center"/>
      </w:pPr>
      <w:r w:rsidRPr="008840C1">
        <w:t xml:space="preserve">Additional </w:t>
      </w:r>
      <w:r w:rsidR="001F502E">
        <w:t>I</w:t>
      </w:r>
      <w:r w:rsidR="001F502E" w:rsidRPr="008840C1">
        <w:t xml:space="preserve">ssues </w:t>
      </w:r>
      <w:r w:rsidR="001F502E">
        <w:t>with T</w:t>
      </w:r>
      <w:r w:rsidR="008A722F" w:rsidRPr="008840C1">
        <w:t xml:space="preserve">eaching </w:t>
      </w:r>
      <w:r w:rsidR="001F502E">
        <w:t>W</w:t>
      </w:r>
      <w:r w:rsidR="0049559D" w:rsidRPr="008840C1">
        <w:t xml:space="preserve">riting in STEM </w:t>
      </w:r>
      <w:r w:rsidR="00244CF4" w:rsidRPr="008840C1">
        <w:t>(</w:t>
      </w:r>
      <w:r w:rsidR="001F502E">
        <w:t>S</w:t>
      </w:r>
      <w:r w:rsidR="00244CF4" w:rsidRPr="008840C1">
        <w:t>pecial/</w:t>
      </w:r>
      <w:r w:rsidR="001F502E">
        <w:t>S</w:t>
      </w:r>
      <w:r w:rsidR="00244CF4" w:rsidRPr="008840C1">
        <w:t xml:space="preserve">pecific </w:t>
      </w:r>
      <w:r w:rsidR="001F502E">
        <w:t>N</w:t>
      </w:r>
      <w:r w:rsidR="00244CF4" w:rsidRPr="008840C1">
        <w:t xml:space="preserve">eeds of STEM </w:t>
      </w:r>
      <w:r w:rsidR="001F502E">
        <w:t>W</w:t>
      </w:r>
      <w:r w:rsidR="00244CF4" w:rsidRPr="008840C1">
        <w:t>riting)</w:t>
      </w:r>
    </w:p>
    <w:p w14:paraId="3EEFA050" w14:textId="77777777" w:rsidR="008840C1" w:rsidRDefault="008840C1" w:rsidP="00462BB1">
      <w:pPr>
        <w:rPr>
          <w:highlight w:val="yellow"/>
        </w:rPr>
      </w:pPr>
    </w:p>
    <w:p w14:paraId="06726F93" w14:textId="2A2A08FF" w:rsidR="00462BB1" w:rsidRDefault="008A722F" w:rsidP="00462BB1">
      <w:r w:rsidRPr="0010204C">
        <w:t xml:space="preserve">Universities’ need to help students develop a deep understanding of content and communication skills relevant to their anticipated professional field creates a unique and often complex set of student learning objectives for professors. The faculty </w:t>
      </w:r>
      <w:r w:rsidR="001F502E">
        <w:t>who</w:t>
      </w:r>
      <w:r w:rsidR="001F502E" w:rsidRPr="0010204C">
        <w:t xml:space="preserve"> </w:t>
      </w:r>
      <w:r w:rsidRPr="0010204C">
        <w:t xml:space="preserve">teach genre-specific writing must balance these competing needs within the individual classes they teach. </w:t>
      </w:r>
      <w:r w:rsidR="00B817A3">
        <w:t xml:space="preserve">As a result, </w:t>
      </w:r>
      <w:r w:rsidR="00462BB1">
        <w:t>STEM writing faculty experience all the general concerns mentioned above, and also report</w:t>
      </w:r>
      <w:r w:rsidR="00B817A3">
        <w:t xml:space="preserve"> discipline-specific challenges.</w:t>
      </w:r>
      <w:r w:rsidR="00FF06C1" w:rsidRPr="00FF06C1">
        <w:t xml:space="preserve"> </w:t>
      </w:r>
    </w:p>
    <w:p w14:paraId="13D9FE03" w14:textId="77777777" w:rsidR="00462BB1" w:rsidRDefault="00462BB1" w:rsidP="00462BB1"/>
    <w:p w14:paraId="573F550F" w14:textId="24AF18DE" w:rsidR="00812756" w:rsidRDefault="001F13E8" w:rsidP="007615C0">
      <w:r>
        <w:t xml:space="preserve">The most common </w:t>
      </w:r>
      <w:r w:rsidR="00AE482C">
        <w:t xml:space="preserve">additional </w:t>
      </w:r>
      <w:r>
        <w:t>issues encountered by STEM faculty teaching writing include feeling uncomfortable or being unprepared to teach writing</w:t>
      </w:r>
      <w:r w:rsidR="0010204C">
        <w:t xml:space="preserve"> (compared to teaching </w:t>
      </w:r>
      <w:r w:rsidR="001362DE">
        <w:t xml:space="preserve">STEM </w:t>
      </w:r>
      <w:r w:rsidR="0010204C">
        <w:t>content)</w:t>
      </w:r>
      <w:r>
        <w:t xml:space="preserve">, </w:t>
      </w:r>
      <w:r w:rsidR="00AE482C">
        <w:t xml:space="preserve">or that they do not </w:t>
      </w:r>
      <w:r w:rsidR="006C6E5F">
        <w:t>want to give up time teaching content to teach writing (Patterson and Slinger-Friedman 2012; Fallahi, Wood, and Austad 2006)</w:t>
      </w:r>
      <w:r w:rsidR="007615C0">
        <w:t xml:space="preserve">. </w:t>
      </w:r>
      <w:r w:rsidR="00574AB8" w:rsidRPr="0010204C">
        <w:t xml:space="preserve">This is possibly because many faculty are skilled academic writers, but </w:t>
      </w:r>
      <w:r w:rsidR="001F502E">
        <w:t xml:space="preserve">they </w:t>
      </w:r>
      <w:r w:rsidR="00574AB8" w:rsidRPr="0010204C">
        <w:t>may have limited experience in industry contexts (</w:t>
      </w:r>
      <w:r w:rsidR="0010204C" w:rsidRPr="0010204C">
        <w:t>Conrad, et al. 2015</w:t>
      </w:r>
      <w:r w:rsidR="00574AB8" w:rsidRPr="0010204C">
        <w:t>).</w:t>
      </w:r>
    </w:p>
    <w:p w14:paraId="5DC15827" w14:textId="77777777" w:rsidR="00812756" w:rsidRDefault="00812756" w:rsidP="007615C0"/>
    <w:p w14:paraId="31C15F94" w14:textId="77777777" w:rsidR="0010204C" w:rsidRDefault="00993FFB" w:rsidP="00EC5C14">
      <w:r>
        <w:t>Coming into discipline-specific writing courses as juniors, many students have misconceptions or little knowledge of expected structure of writing in STEM genres (Conrad, et al. 2015</w:t>
      </w:r>
      <w:r w:rsidRPr="00993FFB">
        <w:t xml:space="preserve">). </w:t>
      </w:r>
      <w:r>
        <w:lastRenderedPageBreak/>
        <w:t>Students may not have encountered professional papers or practiced specific genre styles or used technical language in their papers</w:t>
      </w:r>
      <w:r w:rsidR="005E369A">
        <w:t>, or developed</w:t>
      </w:r>
      <w:r>
        <w:t xml:space="preserve"> </w:t>
      </w:r>
      <w:r w:rsidR="005E369A">
        <w:t>disciplinary literacy, in which students read, speak, and write using habits of thi</w:t>
      </w:r>
      <w:r w:rsidR="0010204C">
        <w:t xml:space="preserve">nking within a core discipline </w:t>
      </w:r>
      <w:r w:rsidR="005E369A">
        <w:t xml:space="preserve">(Ruzycki 2015; Wingate, Andon, and Cogo 2011; Chapman 2003; Nelson and Hayes 1988). </w:t>
      </w:r>
      <w:r w:rsidRPr="0010204C">
        <w:t xml:space="preserve">Conventions of </w:t>
      </w:r>
      <w:r w:rsidR="0010204C" w:rsidRPr="0010204C">
        <w:t xml:space="preserve">their STEM </w:t>
      </w:r>
      <w:r w:rsidRPr="0010204C">
        <w:t>profession need to be learned</w:t>
      </w:r>
      <w:r>
        <w:t xml:space="preserve">, and students </w:t>
      </w:r>
      <w:r w:rsidR="005E369A">
        <w:t xml:space="preserve">need to be </w:t>
      </w:r>
      <w:r>
        <w:t>prepared to provide quality written work upon graduation for the best chances of being hired</w:t>
      </w:r>
      <w:r w:rsidR="0010204C">
        <w:t xml:space="preserve"> </w:t>
      </w:r>
      <w:r w:rsidR="0010204C" w:rsidRPr="0010204C">
        <w:t>(Conrad, et al. 2015)</w:t>
      </w:r>
      <w:r>
        <w:t xml:space="preserve">. </w:t>
      </w:r>
    </w:p>
    <w:p w14:paraId="5F626808" w14:textId="77777777" w:rsidR="0010204C" w:rsidRDefault="0010204C" w:rsidP="00EC5C14"/>
    <w:p w14:paraId="61102488" w14:textId="6C59B84A" w:rsidR="00EC5C14" w:rsidRDefault="00EC5C14" w:rsidP="00EC5C14">
      <w:r>
        <w:t xml:space="preserve">Other challenges arise from the </w:t>
      </w:r>
      <w:r w:rsidR="0087314F">
        <w:t xml:space="preserve">pedagogical </w:t>
      </w:r>
      <w:r>
        <w:t xml:space="preserve">differences between </w:t>
      </w:r>
      <w:r w:rsidR="00B81596">
        <w:t>English writing instructors and science teachers</w:t>
      </w:r>
      <w:r>
        <w:t>, who</w:t>
      </w:r>
      <w:r w:rsidR="00B81596">
        <w:t xml:space="preserve"> often teach writing in different ways</w:t>
      </w:r>
      <w:r>
        <w:t xml:space="preserve"> (Pytash, et al. 2016). As a result, students may not</w:t>
      </w:r>
      <w:r w:rsidR="00B81596">
        <w:t xml:space="preserve"> see the conne</w:t>
      </w:r>
      <w:r>
        <w:t xml:space="preserve">ctions between the two subjects, </w:t>
      </w:r>
      <w:r w:rsidR="00604DF0">
        <w:t xml:space="preserve">or </w:t>
      </w:r>
      <w:r w:rsidR="001F502E">
        <w:t xml:space="preserve">they </w:t>
      </w:r>
      <w:r w:rsidR="00604DF0">
        <w:t>may need to be</w:t>
      </w:r>
      <w:r>
        <w:t xml:space="preserve"> shown </w:t>
      </w:r>
      <w:r w:rsidR="0010204C">
        <w:t>the</w:t>
      </w:r>
      <w:r w:rsidR="003E517E">
        <w:t xml:space="preserve"> link</w:t>
      </w:r>
      <w:r w:rsidR="0010204C">
        <w:t>s</w:t>
      </w:r>
      <w:r w:rsidR="003E517E">
        <w:t xml:space="preserve"> between writing competence and co</w:t>
      </w:r>
      <w:r w:rsidR="00DD1E03">
        <w:t>mprehension of subject material</w:t>
      </w:r>
      <w:r w:rsidR="0010204C">
        <w:t xml:space="preserve">, </w:t>
      </w:r>
      <w:r w:rsidR="0010204C" w:rsidRPr="0010204C">
        <w:t>genre conventions</w:t>
      </w:r>
      <w:r w:rsidR="0010204C">
        <w:t>,</w:t>
      </w:r>
      <w:r w:rsidR="0010204C" w:rsidRPr="0010204C">
        <w:t xml:space="preserve"> and applications that require clearly communicating content </w:t>
      </w:r>
      <w:r w:rsidR="0010204C">
        <w:t>(Steward, et al. 2015; Pytash, et al. 2016)</w:t>
      </w:r>
      <w:r w:rsidR="00DD1E03">
        <w:t xml:space="preserve">. </w:t>
      </w:r>
      <w:r w:rsidR="00FF06C1">
        <w:t xml:space="preserve">Students may also lack the exposure to multi-modal skills used in STEM writing, including the use of </w:t>
      </w:r>
      <w:r w:rsidR="006C3EF2">
        <w:t xml:space="preserve">graphs, tables, drawing, maps, and photographs to convey ideas, relationships, and significance of data (Pytash, </w:t>
      </w:r>
      <w:r w:rsidR="0010204C">
        <w:t>et al.</w:t>
      </w:r>
      <w:r w:rsidR="006C3EF2">
        <w:t xml:space="preserve"> 2</w:t>
      </w:r>
      <w:r w:rsidR="00B82C93">
        <w:t>016; Lemke 1998</w:t>
      </w:r>
      <w:r w:rsidR="006C3EF2">
        <w:t>).</w:t>
      </w:r>
    </w:p>
    <w:p w14:paraId="7D02B732" w14:textId="2F394A32" w:rsidR="00C430FC" w:rsidRPr="00EC5C14" w:rsidRDefault="00C430FC" w:rsidP="00EC5C14"/>
    <w:p w14:paraId="20299D5D" w14:textId="419CF07C" w:rsidR="009F40FC" w:rsidRDefault="0010204C" w:rsidP="008840C1">
      <w:pPr>
        <w:jc w:val="center"/>
      </w:pPr>
      <w:r>
        <w:t>Differences Between Student and Practitioner W</w:t>
      </w:r>
      <w:r w:rsidR="009F40FC" w:rsidRPr="008840C1">
        <w:t>ork</w:t>
      </w:r>
    </w:p>
    <w:p w14:paraId="09E5F854" w14:textId="77777777" w:rsidR="008840C1" w:rsidRPr="008840C1" w:rsidRDefault="008840C1" w:rsidP="008840C1">
      <w:pPr>
        <w:jc w:val="center"/>
      </w:pPr>
    </w:p>
    <w:p w14:paraId="689728E4" w14:textId="0C843B3F" w:rsidR="00F262DF" w:rsidRDefault="009F40FC" w:rsidP="00F262DF">
      <w:r w:rsidRPr="00C5580B">
        <w:t>The p</w:t>
      </w:r>
      <w:r w:rsidR="00500F7B" w:rsidRPr="00C5580B">
        <w:t>urpose of professional comm</w:t>
      </w:r>
      <w:r w:rsidRPr="00C5580B">
        <w:t>unication documents is specific and focused</w:t>
      </w:r>
      <w:r w:rsidR="003C67A5" w:rsidRPr="00C5580B">
        <w:t>, intended to provide information to clients and/or peers (</w:t>
      </w:r>
      <w:r w:rsidR="0010204C" w:rsidRPr="00C5580B">
        <w:t>Conrad, et al. 2015</w:t>
      </w:r>
      <w:r w:rsidR="003C67A5" w:rsidRPr="00C5580B">
        <w:t>)</w:t>
      </w:r>
      <w:r w:rsidRPr="00C5580B">
        <w:t>.</w:t>
      </w:r>
      <w:r w:rsidRPr="00F37F4A">
        <w:t xml:space="preserve"> Practitioners </w:t>
      </w:r>
      <w:r w:rsidR="001873B5" w:rsidRPr="00F37F4A">
        <w:t>write for clarity</w:t>
      </w:r>
      <w:r w:rsidR="006C3EF2" w:rsidRPr="00F37F4A">
        <w:t xml:space="preserve"> and purpose</w:t>
      </w:r>
      <w:r w:rsidR="001873B5" w:rsidRPr="00F37F4A">
        <w:t>, while, by necessity, student</w:t>
      </w:r>
      <w:r w:rsidR="003C67A5">
        <w:t>s are asked to also</w:t>
      </w:r>
      <w:r w:rsidR="001873B5" w:rsidRPr="00F37F4A">
        <w:t xml:space="preserve"> </w:t>
      </w:r>
      <w:r w:rsidR="006C3EF2" w:rsidRPr="00F37F4A">
        <w:t xml:space="preserve">demonstrate understanding of </w:t>
      </w:r>
      <w:r w:rsidR="00F37F4A" w:rsidRPr="00F37F4A">
        <w:t xml:space="preserve">theory, </w:t>
      </w:r>
      <w:r w:rsidR="006C3EF2" w:rsidRPr="00F37F4A">
        <w:t>concepts</w:t>
      </w:r>
      <w:r w:rsidR="00F37F4A" w:rsidRPr="00F37F4A">
        <w:t>,</w:t>
      </w:r>
      <w:r w:rsidR="006C3EF2" w:rsidRPr="00F37F4A">
        <w:t xml:space="preserve"> and </w:t>
      </w:r>
      <w:r w:rsidR="003E517E" w:rsidRPr="00F37F4A">
        <w:t>competence (</w:t>
      </w:r>
      <w:r w:rsidR="00F37F4A" w:rsidRPr="00F37F4A">
        <w:t>Conrad, et al. 2015</w:t>
      </w:r>
      <w:r w:rsidR="003E517E" w:rsidRPr="00F37F4A">
        <w:t>)</w:t>
      </w:r>
      <w:r w:rsidR="006C3EF2" w:rsidRPr="00F37F4A">
        <w:t>. The</w:t>
      </w:r>
      <w:r w:rsidR="003C67A5">
        <w:t xml:space="preserve"> need for professors to </w:t>
      </w:r>
      <w:r w:rsidR="003C603D">
        <w:t xml:space="preserve">facilitate content literacy and teach genre-specific (and often, remedial) </w:t>
      </w:r>
      <w:r w:rsidR="003C67A5">
        <w:t>writing</w:t>
      </w:r>
      <w:r w:rsidR="003C603D">
        <w:t xml:space="preserve"> skills</w:t>
      </w:r>
      <w:r w:rsidR="00F77913">
        <w:t>,</w:t>
      </w:r>
      <w:r w:rsidR="006C3EF2" w:rsidRPr="00F37F4A">
        <w:t xml:space="preserve"> </w:t>
      </w:r>
      <w:r w:rsidR="003C603D">
        <w:t xml:space="preserve">in addition to the challenges discussed above, </w:t>
      </w:r>
      <w:r w:rsidR="006C3EF2" w:rsidRPr="00F37F4A">
        <w:t>exemplify</w:t>
      </w:r>
      <w:r w:rsidR="003C67A5">
        <w:t xml:space="preserve"> the challenges faced by STEM writing professors. </w:t>
      </w:r>
      <w:r w:rsidR="003C603D">
        <w:t>N</w:t>
      </w:r>
      <w:r w:rsidR="003C67A5">
        <w:t>ot surprisingly, p</w:t>
      </w:r>
      <w:r w:rsidR="006C3EF2" w:rsidRPr="00F37F4A">
        <w:t>rospective e</w:t>
      </w:r>
      <w:r w:rsidR="00926D4D" w:rsidRPr="00F37F4A">
        <w:t>mployers</w:t>
      </w:r>
      <w:r w:rsidR="006C3EF2" w:rsidRPr="00F37F4A">
        <w:t xml:space="preserve"> </w:t>
      </w:r>
      <w:r w:rsidR="00F77913">
        <w:t>find</w:t>
      </w:r>
      <w:r w:rsidR="006C3EF2" w:rsidRPr="00F37F4A">
        <w:t xml:space="preserve"> </w:t>
      </w:r>
      <w:r w:rsidR="00F37F4A" w:rsidRPr="00F37F4A">
        <w:t xml:space="preserve">that new hires from universities are often more </w:t>
      </w:r>
      <w:r w:rsidR="00F77913" w:rsidRPr="00F37F4A">
        <w:t xml:space="preserve">prepared </w:t>
      </w:r>
      <w:r w:rsidR="00F37F4A" w:rsidRPr="00F37F4A">
        <w:t>technically than in writing, and</w:t>
      </w:r>
      <w:r w:rsidR="00A92BD3">
        <w:t>, in these cases,</w:t>
      </w:r>
      <w:r w:rsidR="00F37F4A" w:rsidRPr="00F37F4A">
        <w:t xml:space="preserve"> employers </w:t>
      </w:r>
      <w:r w:rsidR="00F77913">
        <w:t>report being</w:t>
      </w:r>
      <w:r w:rsidR="00F37F4A" w:rsidRPr="00F37F4A">
        <w:t xml:space="preserve"> </w:t>
      </w:r>
      <w:r w:rsidR="00926D4D" w:rsidRPr="00F37F4A">
        <w:t>unsatisfied with the writing preparation students receive</w:t>
      </w:r>
      <w:r w:rsidR="006C3EF2" w:rsidRPr="00F37F4A">
        <w:t xml:space="preserve"> at universities </w:t>
      </w:r>
      <w:r w:rsidR="00F37F4A" w:rsidRPr="00F37F4A">
        <w:t>(Conrad, et al</w:t>
      </w:r>
      <w:r w:rsidR="00C5580B">
        <w:t>.</w:t>
      </w:r>
      <w:r w:rsidR="00F37F4A" w:rsidRPr="00F37F4A">
        <w:t xml:space="preserve"> 2015). </w:t>
      </w:r>
    </w:p>
    <w:p w14:paraId="5AD53238" w14:textId="77777777" w:rsidR="00F77913" w:rsidRDefault="00F77913" w:rsidP="00F262DF"/>
    <w:p w14:paraId="3FF48302" w14:textId="0FE4C67E" w:rsidR="00F77913" w:rsidRDefault="00F77913" w:rsidP="00F262DF">
      <w:r>
        <w:t>Conrad, et al. (2015) found that student writing differs from practitioner writing in three distinct ways.</w:t>
      </w:r>
    </w:p>
    <w:p w14:paraId="480ABC04" w14:textId="20BC5F33" w:rsidR="00FF1633" w:rsidRDefault="00F262DF" w:rsidP="00FF1633">
      <w:pPr>
        <w:pStyle w:val="ListParagraph"/>
        <w:numPr>
          <w:ilvl w:val="0"/>
          <w:numId w:val="11"/>
        </w:numPr>
      </w:pPr>
      <w:r>
        <w:t>Genre organization</w:t>
      </w:r>
      <w:r w:rsidR="00F77913">
        <w:t>. Within STEM disciplines, documents produced by p</w:t>
      </w:r>
      <w:r>
        <w:t xml:space="preserve">ractitioners </w:t>
      </w:r>
      <w:r w:rsidR="00F77913">
        <w:t xml:space="preserve">are </w:t>
      </w:r>
      <w:r>
        <w:t xml:space="preserve">fairly standardized </w:t>
      </w:r>
      <w:r w:rsidR="00F77913">
        <w:t xml:space="preserve">in terms of </w:t>
      </w:r>
      <w:r>
        <w:t xml:space="preserve">basic organization, even across firms and states </w:t>
      </w:r>
      <w:r w:rsidR="00F77913">
        <w:t>because they serve the same or s</w:t>
      </w:r>
      <w:r w:rsidR="003E0ABD">
        <w:t>imilar functions or because document content and organization are</w:t>
      </w:r>
      <w:r w:rsidR="00F77913">
        <w:t xml:space="preserve"> based u</w:t>
      </w:r>
      <w:r w:rsidR="00FB3849">
        <w:t>pon convention</w:t>
      </w:r>
      <w:r>
        <w:t>.</w:t>
      </w:r>
      <w:r w:rsidR="00FB3849">
        <w:t xml:space="preserve"> </w:t>
      </w:r>
      <w:r w:rsidR="003E0ABD">
        <w:t>In contrast, s</w:t>
      </w:r>
      <w:r w:rsidR="00FF1633">
        <w:t>tudents have</w:t>
      </w:r>
      <w:r>
        <w:t xml:space="preserve"> little knowledge of expected </w:t>
      </w:r>
      <w:r w:rsidR="00A92BD3">
        <w:t xml:space="preserve">document </w:t>
      </w:r>
      <w:r>
        <w:t xml:space="preserve">structure </w:t>
      </w:r>
      <w:r w:rsidR="00A92BD3">
        <w:t xml:space="preserve">within </w:t>
      </w:r>
      <w:r>
        <w:t>the genre</w:t>
      </w:r>
      <w:r w:rsidR="00A92BD3">
        <w:t xml:space="preserve">. Student papers will </w:t>
      </w:r>
      <w:r w:rsidR="003E0ABD">
        <w:t xml:space="preserve">often </w:t>
      </w:r>
      <w:r w:rsidR="00A92BD3">
        <w:t xml:space="preserve">lack </w:t>
      </w:r>
      <w:r w:rsidR="003E0ABD">
        <w:t>context for the project and</w:t>
      </w:r>
      <w:r w:rsidR="00A92BD3">
        <w:t>/or document</w:t>
      </w:r>
      <w:r w:rsidR="00FF1633">
        <w:t>, even when assignments a</w:t>
      </w:r>
      <w:r>
        <w:t>re</w:t>
      </w:r>
      <w:r w:rsidR="003E0ABD">
        <w:t xml:space="preserve"> modeled on practitioner genres</w:t>
      </w:r>
      <w:r>
        <w:t xml:space="preserve">. </w:t>
      </w:r>
    </w:p>
    <w:p w14:paraId="1484A4DD" w14:textId="30D82788" w:rsidR="00FF1633" w:rsidRDefault="00F262DF" w:rsidP="00FF1633">
      <w:pPr>
        <w:pStyle w:val="ListParagraph"/>
        <w:numPr>
          <w:ilvl w:val="0"/>
          <w:numId w:val="11"/>
        </w:numPr>
      </w:pPr>
      <w:r>
        <w:t>Sentence structure</w:t>
      </w:r>
      <w:r w:rsidR="003E0ABD">
        <w:t>. STEM p</w:t>
      </w:r>
      <w:r>
        <w:t xml:space="preserve">ractitioners </w:t>
      </w:r>
      <w:r w:rsidR="00A92BD3">
        <w:t xml:space="preserve">typically </w:t>
      </w:r>
      <w:r>
        <w:t>write with more concision</w:t>
      </w:r>
      <w:r w:rsidR="00A92BD3">
        <w:t xml:space="preserve"> than students (e.g., </w:t>
      </w:r>
      <w:r>
        <w:t>one idea per sentence</w:t>
      </w:r>
      <w:r w:rsidR="00A92BD3">
        <w:t xml:space="preserve">) because practitioners aim </w:t>
      </w:r>
      <w:r w:rsidR="003E0ABD">
        <w:t>to provide</w:t>
      </w:r>
      <w:r>
        <w:t xml:space="preserve"> unambiguous and quick reading for clients </w:t>
      </w:r>
      <w:r w:rsidR="003E0ABD">
        <w:t>for a specific purpose or outcome</w:t>
      </w:r>
      <w:r>
        <w:t>.</w:t>
      </w:r>
      <w:r w:rsidR="003E0ABD">
        <w:t xml:space="preserve"> </w:t>
      </w:r>
      <w:r>
        <w:t xml:space="preserve">Students </w:t>
      </w:r>
      <w:r w:rsidR="00A92BD3">
        <w:t xml:space="preserve">tend to write more complex and/or </w:t>
      </w:r>
      <w:r w:rsidR="00D76B3E">
        <w:t>compound sentences with multiple ideas</w:t>
      </w:r>
      <w:r w:rsidR="003E0ABD">
        <w:t>, often</w:t>
      </w:r>
      <w:r w:rsidR="00D76B3E">
        <w:t xml:space="preserve"> with vague or inaccurate information</w:t>
      </w:r>
      <w:r w:rsidR="003E0ABD">
        <w:t>, confusing</w:t>
      </w:r>
      <w:r w:rsidR="00A92BD3">
        <w:t xml:space="preserve"> sentence l</w:t>
      </w:r>
      <w:r w:rsidR="00D76B3E">
        <w:t xml:space="preserve">ength and </w:t>
      </w:r>
      <w:r w:rsidR="00A92BD3">
        <w:t xml:space="preserve">use of </w:t>
      </w:r>
      <w:r w:rsidR="00D76B3E">
        <w:t xml:space="preserve">jargon with </w:t>
      </w:r>
      <w:r w:rsidR="003E0ABD">
        <w:t>sounding more intelligent or professional.</w:t>
      </w:r>
      <w:r w:rsidR="00D76B3E">
        <w:t xml:space="preserve"> </w:t>
      </w:r>
    </w:p>
    <w:p w14:paraId="5C7D4EFA" w14:textId="56B98FB8" w:rsidR="00D76B3E" w:rsidRDefault="00D76B3E" w:rsidP="00FF1633">
      <w:pPr>
        <w:pStyle w:val="ListParagraph"/>
        <w:numPr>
          <w:ilvl w:val="0"/>
          <w:numId w:val="11"/>
        </w:numPr>
      </w:pPr>
      <w:r>
        <w:t>Word Choice</w:t>
      </w:r>
      <w:r w:rsidR="00FF1633">
        <w:t xml:space="preserve">. Practitioners use more precise words and phrases, especially in engineering or areas of other </w:t>
      </w:r>
      <w:r w:rsidR="00A92BD3">
        <w:t>detailed</w:t>
      </w:r>
      <w:r w:rsidR="00FF1633">
        <w:t xml:space="preserve"> work. </w:t>
      </w:r>
      <w:r>
        <w:t>Student</w:t>
      </w:r>
      <w:r w:rsidR="00A92BD3">
        <w:t xml:space="preserve">s often choose </w:t>
      </w:r>
      <w:r w:rsidR="00FF1633">
        <w:t>vague</w:t>
      </w:r>
      <w:r w:rsidR="00A92BD3">
        <w:t xml:space="preserve"> words </w:t>
      </w:r>
      <w:r w:rsidR="001F502E">
        <w:t>that</w:t>
      </w:r>
      <w:r w:rsidR="00FF1633">
        <w:t xml:space="preserve"> </w:t>
      </w:r>
      <w:r w:rsidR="00A92BD3">
        <w:lastRenderedPageBreak/>
        <w:t>can</w:t>
      </w:r>
      <w:r w:rsidR="00FF1633">
        <w:t xml:space="preserve"> convey</w:t>
      </w:r>
      <w:r>
        <w:t xml:space="preserve"> inaccurate and/or imprecise information (</w:t>
      </w:r>
      <w:r w:rsidR="00FF1633">
        <w:t xml:space="preserve">i.e., </w:t>
      </w:r>
      <w:r>
        <w:t xml:space="preserve">superlatives or absolutes) </w:t>
      </w:r>
      <w:r w:rsidR="00FF1633">
        <w:t xml:space="preserve">because they do not yet </w:t>
      </w:r>
      <w:r w:rsidR="00A92BD3">
        <w:t>value</w:t>
      </w:r>
      <w:r>
        <w:t xml:space="preserve"> concision and accuracy </w:t>
      </w:r>
      <w:r w:rsidR="00A92BD3">
        <w:t>in their technical</w:t>
      </w:r>
      <w:r>
        <w:t xml:space="preserve"> writing.</w:t>
      </w:r>
      <w:r w:rsidR="00FF1633">
        <w:t xml:space="preserve"> In addition, s</w:t>
      </w:r>
      <w:r>
        <w:t>tudents lack awareness between unambiguous writing and unintentional liability and other professional consequences</w:t>
      </w:r>
      <w:r w:rsidR="00FF1633">
        <w:t>.</w:t>
      </w:r>
    </w:p>
    <w:p w14:paraId="4048C2CA" w14:textId="77777777" w:rsidR="00633ADC" w:rsidRDefault="00633ADC" w:rsidP="00633ADC"/>
    <w:p w14:paraId="500C9C11" w14:textId="6569A107" w:rsidR="00633ADC" w:rsidRDefault="00633ADC" w:rsidP="00633ADC">
      <w:r>
        <w:t>Preparing students for the STEM workplace necessitates that universities help close these gaps between student and practitioner writing. Students need to be provided with the training, tools, and experience to step into entry-level positions and provide prospective employers with the skills that they seek from graduates.</w:t>
      </w:r>
    </w:p>
    <w:p w14:paraId="6655C88F" w14:textId="77777777" w:rsidR="007B6A0B" w:rsidRDefault="007B6A0B" w:rsidP="007B6A0B"/>
    <w:p w14:paraId="4BC31D39" w14:textId="7E9364B6" w:rsidR="007B6A0B" w:rsidRDefault="007B6A0B" w:rsidP="00042620">
      <w:pPr>
        <w:jc w:val="center"/>
        <w:rPr>
          <w:b/>
        </w:rPr>
      </w:pPr>
      <w:r w:rsidRPr="00FF1633">
        <w:rPr>
          <w:b/>
        </w:rPr>
        <w:t>Methods</w:t>
      </w:r>
    </w:p>
    <w:p w14:paraId="472F3204" w14:textId="77777777" w:rsidR="001F502E" w:rsidRPr="00FF1633" w:rsidRDefault="001F502E" w:rsidP="00042620">
      <w:pPr>
        <w:jc w:val="center"/>
        <w:rPr>
          <w:b/>
        </w:rPr>
      </w:pPr>
    </w:p>
    <w:p w14:paraId="62D8F09B" w14:textId="0F9E0695" w:rsidR="00633ADC" w:rsidRDefault="00042620" w:rsidP="007B6A0B">
      <w:r>
        <w:t>I conducted research for the San Jos</w:t>
      </w:r>
      <w:r w:rsidR="001F502E">
        <w:rPr>
          <w:rFonts w:ascii="Calibri" w:hAnsi="Calibri"/>
        </w:rPr>
        <w:t>é</w:t>
      </w:r>
      <w:r>
        <w:t xml:space="preserve"> State University Writing Center, in conjunction with Writing Across the Curriculum, during</w:t>
      </w:r>
      <w:r w:rsidR="00347573">
        <w:t xml:space="preserve"> the 2016-2017 academic year, during</w:t>
      </w:r>
      <w:r w:rsidR="00C5580B">
        <w:t xml:space="preserve"> which I served as a faculty-in-</w:t>
      </w:r>
      <w:r>
        <w:t xml:space="preserve">residence. This research focused </w:t>
      </w:r>
      <w:r w:rsidR="006C60C8">
        <w:t xml:space="preserve">on providing information </w:t>
      </w:r>
      <w:r w:rsidR="00F21B1B">
        <w:t>to</w:t>
      </w:r>
      <w:r w:rsidR="006C60C8">
        <w:t xml:space="preserve"> support </w:t>
      </w:r>
      <w:r w:rsidR="00F21B1B">
        <w:t xml:space="preserve">and enhance </w:t>
      </w:r>
      <w:r>
        <w:t xml:space="preserve">writing instruction and resources to students in STEM majors </w:t>
      </w:r>
      <w:r w:rsidR="006C60C8">
        <w:t xml:space="preserve">with the goal of </w:t>
      </w:r>
      <w:r w:rsidR="00CB3950">
        <w:t>help</w:t>
      </w:r>
      <w:r w:rsidR="006C60C8">
        <w:t>ing</w:t>
      </w:r>
      <w:r w:rsidR="00CB3950">
        <w:t xml:space="preserve"> them </w:t>
      </w:r>
      <w:r w:rsidR="006C60C8">
        <w:t xml:space="preserve">to </w:t>
      </w:r>
      <w:r w:rsidR="00CB3950">
        <w:t>prepare</w:t>
      </w:r>
      <w:r>
        <w:t xml:space="preserve"> and </w:t>
      </w:r>
      <w:r w:rsidR="00CB3950">
        <w:t xml:space="preserve">be </w:t>
      </w:r>
      <w:r>
        <w:t xml:space="preserve">competitive for STEM </w:t>
      </w:r>
      <w:r w:rsidR="00CB3950">
        <w:t>internships and jobs</w:t>
      </w:r>
      <w:r w:rsidR="009A63FC">
        <w:t xml:space="preserve"> upon graduation</w:t>
      </w:r>
      <w:r w:rsidR="00CB3950">
        <w:t xml:space="preserve">. I was interested in documenting current approaches to teaching writing </w:t>
      </w:r>
      <w:r w:rsidR="00004FA1">
        <w:t>and improving student outcomes within</w:t>
      </w:r>
      <w:r w:rsidR="00CB3950">
        <w:t xml:space="preserve"> STEM majors at universities, including SJSU. I conducted a literature survey, looking at </w:t>
      </w:r>
      <w:r w:rsidR="00693E75">
        <w:t xml:space="preserve">the published results of </w:t>
      </w:r>
      <w:r w:rsidR="00CB3950">
        <w:t xml:space="preserve">many different scales of effort, including those undertaken university-wide, </w:t>
      </w:r>
      <w:r w:rsidR="00693E75">
        <w:t xml:space="preserve">within individual </w:t>
      </w:r>
      <w:r w:rsidR="00CB3950">
        <w:t>department</w:t>
      </w:r>
      <w:r w:rsidR="00693E75">
        <w:t>s</w:t>
      </w:r>
      <w:r w:rsidR="00CB3950">
        <w:t>, and in individual classes. I</w:t>
      </w:r>
      <w:r w:rsidR="00693E75">
        <w:t>n spring 2017, I</w:t>
      </w:r>
      <w:r w:rsidR="00CB3950">
        <w:t xml:space="preserve"> conducted a </w:t>
      </w:r>
      <w:r w:rsidR="00004FA1">
        <w:t xml:space="preserve">Qualtrics </w:t>
      </w:r>
      <w:r w:rsidR="00CB3950">
        <w:t xml:space="preserve">survey of SJSU 100W </w:t>
      </w:r>
      <w:r w:rsidR="00693E75">
        <w:t xml:space="preserve">(upper-division genre-specific writing </w:t>
      </w:r>
      <w:r w:rsidR="00004FA1">
        <w:t>classes</w:t>
      </w:r>
      <w:r w:rsidR="00693E75">
        <w:t>)</w:t>
      </w:r>
      <w:r w:rsidR="00004FA1">
        <w:t xml:space="preserve"> instructors</w:t>
      </w:r>
      <w:r w:rsidR="00693E75">
        <w:t xml:space="preserve"> </w:t>
      </w:r>
      <w:r w:rsidR="00CB3950">
        <w:t>in STEM disciplines to document current approaches and observations within our university</w:t>
      </w:r>
      <w:r w:rsidR="001F502E">
        <w:t>.</w:t>
      </w:r>
      <w:r w:rsidR="00004FA1">
        <w:t xml:space="preserve"> (</w:t>
      </w:r>
      <w:r w:rsidR="001F502E">
        <w:t>T</w:t>
      </w:r>
      <w:r w:rsidR="00004FA1">
        <w:t>he survey consisted of nine questions, and the questionnaire is included in the appendix</w:t>
      </w:r>
      <w:r w:rsidR="001F502E">
        <w:t>.</w:t>
      </w:r>
      <w:r w:rsidR="00004FA1">
        <w:t>)</w:t>
      </w:r>
      <w:r w:rsidR="00CB3950">
        <w:t xml:space="preserve"> </w:t>
      </w:r>
      <w:r w:rsidR="00693E75">
        <w:t>After comparing the results of the literature survey to the administered survey, I made</w:t>
      </w:r>
      <w:r w:rsidR="00CB3950">
        <w:t xml:space="preserve"> recommendat</w:t>
      </w:r>
      <w:r w:rsidR="00693E75">
        <w:t>i</w:t>
      </w:r>
      <w:r>
        <w:t>on</w:t>
      </w:r>
      <w:r w:rsidR="00693E75">
        <w:t xml:space="preserve">s for </w:t>
      </w:r>
      <w:r w:rsidR="00004FA1">
        <w:t xml:space="preserve">improving student outcomes in </w:t>
      </w:r>
      <w:r w:rsidR="00693E75">
        <w:t>STEM writing programs at SJSU on</w:t>
      </w:r>
      <w:r>
        <w:t xml:space="preserve"> several levels: university</w:t>
      </w:r>
      <w:r w:rsidR="00C5580B">
        <w:t xml:space="preserve"> (including support services)</w:t>
      </w:r>
      <w:r>
        <w:t xml:space="preserve">, department, </w:t>
      </w:r>
      <w:r w:rsidR="00C5580B">
        <w:t>and course</w:t>
      </w:r>
      <w:r w:rsidR="00347573">
        <w:t>. Support services include</w:t>
      </w:r>
      <w:r>
        <w:t xml:space="preserve"> the Writing</w:t>
      </w:r>
      <w:r w:rsidR="00693E75">
        <w:t xml:space="preserve"> Center, which supports student writers</w:t>
      </w:r>
      <w:r>
        <w:t>, and Writing Across the Curriculum, which supports faculty</w:t>
      </w:r>
      <w:r w:rsidR="00693E75">
        <w:t xml:space="preserve"> </w:t>
      </w:r>
      <w:r w:rsidR="001F502E">
        <w:t xml:space="preserve">who </w:t>
      </w:r>
      <w:r w:rsidR="00693E75">
        <w:t>teach writing</w:t>
      </w:r>
      <w:r>
        <w:t>.</w:t>
      </w:r>
    </w:p>
    <w:p w14:paraId="2432A72F" w14:textId="77777777" w:rsidR="00A422A3" w:rsidRDefault="00A422A3" w:rsidP="00A422A3"/>
    <w:p w14:paraId="0F19775D" w14:textId="1C9EEB61" w:rsidR="00FE4C5B" w:rsidRDefault="008741E7" w:rsidP="008741E7">
      <w:pPr>
        <w:jc w:val="center"/>
        <w:rPr>
          <w:b/>
        </w:rPr>
      </w:pPr>
      <w:r w:rsidRPr="008741E7">
        <w:rPr>
          <w:b/>
        </w:rPr>
        <w:t>Results</w:t>
      </w:r>
    </w:p>
    <w:p w14:paraId="56746B22" w14:textId="77777777" w:rsidR="008840C1" w:rsidRPr="008741E7" w:rsidRDefault="008840C1" w:rsidP="008741E7">
      <w:pPr>
        <w:jc w:val="center"/>
        <w:rPr>
          <w:b/>
        </w:rPr>
      </w:pPr>
    </w:p>
    <w:p w14:paraId="19BA56C1" w14:textId="0297984C" w:rsidR="008741E7" w:rsidRDefault="008741E7" w:rsidP="00FE4C5B">
      <w:r>
        <w:t xml:space="preserve">The results of </w:t>
      </w:r>
      <w:r w:rsidR="00C5580B">
        <w:t>my</w:t>
      </w:r>
      <w:r>
        <w:t xml:space="preserve"> research are broken down into a discussion of the literature survey (and further </w:t>
      </w:r>
      <w:r w:rsidR="00613133">
        <w:t xml:space="preserve">divided by scale </w:t>
      </w:r>
      <w:r>
        <w:t xml:space="preserve">at the university, department, and class level) and Qualtrics survey results from SJSU 100W instructors. </w:t>
      </w:r>
    </w:p>
    <w:p w14:paraId="4B1F5F67" w14:textId="77777777" w:rsidR="008741E7" w:rsidRDefault="008741E7" w:rsidP="00FE4C5B"/>
    <w:p w14:paraId="1B0BDC70" w14:textId="16FA26E2" w:rsidR="001A3C6A" w:rsidRDefault="008741E7" w:rsidP="009111AA">
      <w:pPr>
        <w:jc w:val="center"/>
      </w:pPr>
      <w:r>
        <w:t>Literature Survey Results: Summary of Efforts to Improve W</w:t>
      </w:r>
      <w:r w:rsidR="009E6C74">
        <w:t>riting in STEM</w:t>
      </w:r>
    </w:p>
    <w:p w14:paraId="02ABD56E" w14:textId="77777777" w:rsidR="009111AA" w:rsidRDefault="009111AA" w:rsidP="009111AA">
      <w:pPr>
        <w:jc w:val="center"/>
      </w:pPr>
    </w:p>
    <w:p w14:paraId="6BD97CF8" w14:textId="5E595491" w:rsidR="00517FB6" w:rsidRPr="00517FB6" w:rsidRDefault="001D0637" w:rsidP="00613133">
      <w:pPr>
        <w:rPr>
          <w:b/>
        </w:rPr>
      </w:pPr>
      <w:r>
        <w:rPr>
          <w:b/>
        </w:rPr>
        <w:t>University-</w:t>
      </w:r>
      <w:r w:rsidR="00517FB6" w:rsidRPr="00517FB6">
        <w:rPr>
          <w:b/>
        </w:rPr>
        <w:t>Scale Programs</w:t>
      </w:r>
    </w:p>
    <w:p w14:paraId="15B27BE7" w14:textId="27A2B941" w:rsidR="008741E7" w:rsidRDefault="00613133" w:rsidP="00613133">
      <w:r>
        <w:t>Two universities reported successful s</w:t>
      </w:r>
      <w:r w:rsidR="00B81596">
        <w:t xml:space="preserve">ystem-wide efforts to improve </w:t>
      </w:r>
      <w:r>
        <w:t xml:space="preserve">STEM </w:t>
      </w:r>
      <w:r w:rsidR="00B81596">
        <w:t>writing</w:t>
      </w:r>
      <w:r>
        <w:t>: Duke University (Moskovitz 2011) and Howard College of Arts and</w:t>
      </w:r>
      <w:r w:rsidR="00347573">
        <w:t xml:space="preserve"> Sciences at Samford University</w:t>
      </w:r>
      <w:r>
        <w:t xml:space="preserve"> (Chapman 2003). Duke’s program</w:t>
      </w:r>
      <w:r w:rsidR="00F17125">
        <w:t xml:space="preserve"> focuses on pairing students with alumni within their field, and Samford University supports and funds significant undergraduate research and writing efforts.</w:t>
      </w:r>
    </w:p>
    <w:p w14:paraId="53CE4389" w14:textId="77777777" w:rsidR="00F17125" w:rsidRDefault="00F17125" w:rsidP="00613133"/>
    <w:p w14:paraId="37433D0D" w14:textId="64F96DF8" w:rsidR="00A05F3C" w:rsidRPr="00517FB6" w:rsidRDefault="00517FB6" w:rsidP="00F17125">
      <w:pPr>
        <w:rPr>
          <w:b/>
        </w:rPr>
      </w:pPr>
      <w:r w:rsidRPr="00AF7936">
        <w:rPr>
          <w:u w:val="single"/>
        </w:rPr>
        <w:t>The Duke Reader Project.</w:t>
      </w:r>
      <w:r>
        <w:rPr>
          <w:b/>
        </w:rPr>
        <w:t xml:space="preserve"> </w:t>
      </w:r>
      <w:r w:rsidR="009111AA">
        <w:t xml:space="preserve">The Duke Reader Project </w:t>
      </w:r>
      <w:r w:rsidR="00F17125">
        <w:t>is a collaboration between their Writing Center and Alumni Affairs</w:t>
      </w:r>
      <w:r w:rsidR="00C5580B">
        <w:t xml:space="preserve"> (Moskovitz 2011)</w:t>
      </w:r>
      <w:r w:rsidR="00A05F3C">
        <w:t>. The program pairs a</w:t>
      </w:r>
      <w:r w:rsidR="006C0D58">
        <w:t xml:space="preserve"> student with an </w:t>
      </w:r>
      <w:r w:rsidR="00C5580B">
        <w:t>alumnus</w:t>
      </w:r>
      <w:r w:rsidR="006C0D58">
        <w:t xml:space="preserve"> </w:t>
      </w:r>
      <w:r w:rsidR="00A05F3C">
        <w:t xml:space="preserve">that has volunteered to read one of their papers, offer advice, and talk with them about helping their writing to aim more towards a professional audience (Moskovitz 2011). The alumni </w:t>
      </w:r>
      <w:r w:rsidR="001B493A">
        <w:t xml:space="preserve">who </w:t>
      </w:r>
      <w:r w:rsidR="00B82C93">
        <w:t xml:space="preserve">volunteer for this program </w:t>
      </w:r>
      <w:r w:rsidR="00A05F3C">
        <w:t xml:space="preserve">are often professionals in particular fields, including STEM, and serve as the “target audience” for the paper. </w:t>
      </w:r>
    </w:p>
    <w:p w14:paraId="2B485660" w14:textId="77777777" w:rsidR="00A05F3C" w:rsidRDefault="00A05F3C" w:rsidP="00F17125"/>
    <w:p w14:paraId="3BD84466" w14:textId="08A9FD9A" w:rsidR="009111AA" w:rsidRDefault="006C0D58" w:rsidP="009111AA">
      <w:r>
        <w:t>Alumni Affairs</w:t>
      </w:r>
      <w:r w:rsidR="00A05F3C">
        <w:t xml:space="preserve"> provides</w:t>
      </w:r>
      <w:r>
        <w:t xml:space="preserve"> the platform for writing instructors to advertise specific assignments available</w:t>
      </w:r>
      <w:r w:rsidR="00A05F3C">
        <w:t xml:space="preserve"> for collaboration and provides </w:t>
      </w:r>
      <w:r w:rsidR="00907687">
        <w:t>communication with</w:t>
      </w:r>
      <w:r>
        <w:t xml:space="preserve"> alumni to inform them of volunteer opportunities. The assignment </w:t>
      </w:r>
      <w:r w:rsidR="00907687">
        <w:t>descriptions a</w:t>
      </w:r>
      <w:r>
        <w:t>re ve</w:t>
      </w:r>
      <w:r w:rsidR="00907687">
        <w:t>ry specific so that alumni can</w:t>
      </w:r>
      <w:r>
        <w:t xml:space="preserve"> determine </w:t>
      </w:r>
      <w:r w:rsidR="00907687">
        <w:t>if</w:t>
      </w:r>
      <w:r>
        <w:t xml:space="preserve"> they </w:t>
      </w:r>
      <w:r w:rsidR="00907687">
        <w:t>can</w:t>
      </w:r>
      <w:r>
        <w:t xml:space="preserve"> contribute comfortably, and the volunteer </w:t>
      </w:r>
      <w:r w:rsidR="00907687">
        <w:t>hours a</w:t>
      </w:r>
      <w:r>
        <w:t xml:space="preserve">re kept to </w:t>
      </w:r>
      <w:r w:rsidR="001B493A">
        <w:t xml:space="preserve">four </w:t>
      </w:r>
      <w:r>
        <w:t>hours total</w:t>
      </w:r>
      <w:r w:rsidR="00347573">
        <w:t xml:space="preserve"> per student</w:t>
      </w:r>
      <w:r>
        <w:t xml:space="preserve">. </w:t>
      </w:r>
      <w:r w:rsidR="00347573">
        <w:t>These four hours offer more individual attention</w:t>
      </w:r>
      <w:r w:rsidR="00907687">
        <w:t xml:space="preserve"> than a faculty </w:t>
      </w:r>
      <w:r w:rsidR="001B493A">
        <w:t xml:space="preserve">member </w:t>
      </w:r>
      <w:r w:rsidR="00907687">
        <w:t xml:space="preserve">can provide to </w:t>
      </w:r>
      <w:r w:rsidR="00347573">
        <w:t xml:space="preserve">every </w:t>
      </w:r>
      <w:r w:rsidR="00907687">
        <w:t>student, yet a small and discrete time investment of the alumni.</w:t>
      </w:r>
      <w:r w:rsidR="009111AA" w:rsidRPr="009111AA">
        <w:t xml:space="preserve"> </w:t>
      </w:r>
      <w:r w:rsidR="00347573">
        <w:t>Additionally, the Reader Project</w:t>
      </w:r>
      <w:r w:rsidR="009111AA">
        <w:t xml:space="preserve"> </w:t>
      </w:r>
      <w:r w:rsidR="00347573">
        <w:t>provides Duke</w:t>
      </w:r>
      <w:r w:rsidR="009111AA">
        <w:t xml:space="preserve"> alumni with a way to stay active with the university (and vice versa) and connect students with professional contacts and interactions.</w:t>
      </w:r>
    </w:p>
    <w:p w14:paraId="3185319D" w14:textId="77777777" w:rsidR="00907687" w:rsidRDefault="00907687" w:rsidP="00F17125"/>
    <w:p w14:paraId="0D48CE27" w14:textId="74AB0DCD" w:rsidR="009111AA" w:rsidRDefault="00907687" w:rsidP="00F17125">
      <w:r>
        <w:t>Moskovitz</w:t>
      </w:r>
      <w:r w:rsidR="006C0D58">
        <w:t xml:space="preserve"> </w:t>
      </w:r>
      <w:r w:rsidR="00276EB4">
        <w:t xml:space="preserve">(2011) </w:t>
      </w:r>
      <w:r w:rsidR="006C0D58">
        <w:t>found that</w:t>
      </w:r>
      <w:r w:rsidR="008741E7">
        <w:t xml:space="preserve"> students </w:t>
      </w:r>
      <w:r w:rsidR="001B493A">
        <w:t xml:space="preserve">who </w:t>
      </w:r>
      <w:r>
        <w:t xml:space="preserve">participate in this program improve their ability to </w:t>
      </w:r>
      <w:r w:rsidR="008741E7">
        <w:t xml:space="preserve">write for a particular and specialized audience, </w:t>
      </w:r>
      <w:r w:rsidR="00276EB4">
        <w:t xml:space="preserve">are </w:t>
      </w:r>
      <w:r w:rsidR="008741E7">
        <w:t xml:space="preserve">more likely to seek input on future writing assignments, </w:t>
      </w:r>
      <w:r w:rsidR="00276EB4">
        <w:t xml:space="preserve">are </w:t>
      </w:r>
      <w:r w:rsidR="008741E7">
        <w:t xml:space="preserve">more critical of their own writing in the future, </w:t>
      </w:r>
      <w:r w:rsidR="00276EB4">
        <w:t xml:space="preserve">and </w:t>
      </w:r>
      <w:r w:rsidR="001B493A">
        <w:t xml:space="preserve">are </w:t>
      </w:r>
      <w:r w:rsidR="00276EB4">
        <w:t>left with a</w:t>
      </w:r>
      <w:r w:rsidR="008741E7">
        <w:t xml:space="preserve"> better sense of writing beyond the classroom. </w:t>
      </w:r>
      <w:r w:rsidR="009111AA">
        <w:t xml:space="preserve">These students were also more likely to write papers earlier and express </w:t>
      </w:r>
      <w:r w:rsidR="008741E7">
        <w:t xml:space="preserve">deeper </w:t>
      </w:r>
      <w:r w:rsidR="00A04878">
        <w:t>understanding</w:t>
      </w:r>
      <w:r w:rsidR="008741E7">
        <w:t xml:space="preserve"> </w:t>
      </w:r>
      <w:r w:rsidR="009111AA">
        <w:t>of</w:t>
      </w:r>
      <w:r w:rsidR="008741E7">
        <w:t xml:space="preserve"> </w:t>
      </w:r>
      <w:r w:rsidR="009111AA">
        <w:t xml:space="preserve">the </w:t>
      </w:r>
      <w:r w:rsidR="008741E7">
        <w:t>topic on which they wrote.</w:t>
      </w:r>
      <w:r w:rsidR="009111AA">
        <w:t xml:space="preserve"> Alumni reported wanting to spend more time interacting with students, and many continue</w:t>
      </w:r>
      <w:r w:rsidR="00347573">
        <w:t>d</w:t>
      </w:r>
      <w:r w:rsidR="009111AA">
        <w:t xml:space="preserve"> to volunteer in the reader pool, some up to four times. </w:t>
      </w:r>
    </w:p>
    <w:p w14:paraId="1D2C4178" w14:textId="77777777" w:rsidR="009111AA" w:rsidRDefault="009111AA" w:rsidP="00F17125"/>
    <w:p w14:paraId="67C85C0D" w14:textId="258E5339" w:rsidR="00AF7936" w:rsidRDefault="009111AA" w:rsidP="00517FB6">
      <w:r w:rsidRPr="00AF7936">
        <w:rPr>
          <w:u w:val="single"/>
        </w:rPr>
        <w:t>Emphasis on Student Resarch: Howard College of Arts and Sciences, Samford University</w:t>
      </w:r>
      <w:r w:rsidR="00517FB6" w:rsidRPr="00AF7936">
        <w:rPr>
          <w:u w:val="single"/>
        </w:rPr>
        <w:t>.</w:t>
      </w:r>
      <w:r w:rsidR="00517FB6" w:rsidRPr="00AF7936">
        <w:t xml:space="preserve"> </w:t>
      </w:r>
      <w:r w:rsidR="00517FB6">
        <w:t xml:space="preserve">At Samford University’s Howard College of Arts and Sciences, STEM writing outcomes are improved by </w:t>
      </w:r>
      <w:r w:rsidR="00347573">
        <w:t xml:space="preserve">linking writing to research </w:t>
      </w:r>
      <w:r w:rsidR="00517FB6">
        <w:t xml:space="preserve">opportunities. Chapman (2003) reports that the college puts a </w:t>
      </w:r>
      <w:r w:rsidR="001B493A">
        <w:t xml:space="preserve">heavy </w:t>
      </w:r>
      <w:r w:rsidR="008741E7">
        <w:t>emphasis on und</w:t>
      </w:r>
      <w:r w:rsidR="00517FB6">
        <w:t>ergraduate research and writing</w:t>
      </w:r>
      <w:r w:rsidR="00AF7936">
        <w:t xml:space="preserve"> with the goal of framing the</w:t>
      </w:r>
      <w:r w:rsidR="008741E7">
        <w:t xml:space="preserve"> writing requirement preparation for senior research</w:t>
      </w:r>
      <w:r w:rsidR="00AF7936" w:rsidRPr="00AF7936">
        <w:t xml:space="preserve"> </w:t>
      </w:r>
      <w:r w:rsidR="00AF7936">
        <w:t xml:space="preserve">as opposed to an obstacle to overcome or an abstract application. </w:t>
      </w:r>
    </w:p>
    <w:p w14:paraId="2FBBAA54" w14:textId="77777777" w:rsidR="00AF7936" w:rsidRDefault="00AF7936" w:rsidP="00517FB6"/>
    <w:p w14:paraId="265AF864" w14:textId="12C464EE" w:rsidR="00AF7936" w:rsidRDefault="00AF7936" w:rsidP="00517FB6">
      <w:r>
        <w:t>Within the university, writing requirements are s</w:t>
      </w:r>
      <w:r w:rsidR="008741E7">
        <w:t>caffold</w:t>
      </w:r>
      <w:r>
        <w:t>ed, meaning that the skills learned in one class are reexamined and expanded in subsequent classes. For example, a</w:t>
      </w:r>
      <w:r w:rsidR="008741E7">
        <w:t xml:space="preserve">ll freshman take an interdisciplinary communications course (writing intensive, oral communication, research strategies, and documentation of sources), </w:t>
      </w:r>
      <w:r w:rsidR="001B493A">
        <w:t xml:space="preserve">and </w:t>
      </w:r>
      <w:r w:rsidR="008741E7">
        <w:t>then specific genres are taught in each department</w:t>
      </w:r>
      <w:r>
        <w:t xml:space="preserve">. </w:t>
      </w:r>
      <w:r w:rsidR="00347573">
        <w:t xml:space="preserve">Within both classes, basic </w:t>
      </w:r>
      <w:r w:rsidR="0074439F">
        <w:t xml:space="preserve">writing </w:t>
      </w:r>
      <w:r w:rsidR="00347573">
        <w:t xml:space="preserve">skills </w:t>
      </w:r>
      <w:r w:rsidR="0074439F">
        <w:t xml:space="preserve">(i.e., </w:t>
      </w:r>
      <w:r w:rsidR="00347573">
        <w:t>grammar,</w:t>
      </w:r>
      <w:r w:rsidR="0074439F">
        <w:t xml:space="preserve"> rhetoric, outlining, information literacy) are introduced, and then </w:t>
      </w:r>
      <w:r w:rsidR="001B493A">
        <w:t xml:space="preserve">they </w:t>
      </w:r>
      <w:r w:rsidR="0074439F">
        <w:t xml:space="preserve">continue to be developed in subsequent classes using more advanced skills and applications. The overall goal of all of the writing instruction </w:t>
      </w:r>
      <w:r>
        <w:t xml:space="preserve">is to support student research, with a goal/requirement that undergraduate </w:t>
      </w:r>
      <w:r w:rsidR="008741E7">
        <w:t xml:space="preserve">students present research at </w:t>
      </w:r>
      <w:r>
        <w:t>a</w:t>
      </w:r>
      <w:r w:rsidR="001D0637">
        <w:t>n annual</w:t>
      </w:r>
      <w:r>
        <w:t xml:space="preserve"> university-wide </w:t>
      </w:r>
      <w:r w:rsidR="008741E7">
        <w:t xml:space="preserve">“Student Showcase” (Chapman 2003). Students can then present at subject-specific regional and national meetings or National Conference of Undergraduate Research (NCUR.org) (Chapman 2003). </w:t>
      </w:r>
    </w:p>
    <w:p w14:paraId="6090664C" w14:textId="77777777" w:rsidR="00AF7936" w:rsidRDefault="00AF7936" w:rsidP="00517FB6"/>
    <w:p w14:paraId="06C77762" w14:textId="77777777" w:rsidR="00D137E2" w:rsidRDefault="00AF7936" w:rsidP="00AF7936">
      <w:r>
        <w:lastRenderedPageBreak/>
        <w:t>Students gain valuable research experience, and</w:t>
      </w:r>
      <w:r w:rsidR="0074439F">
        <w:t>, because they</w:t>
      </w:r>
      <w:r>
        <w:t xml:space="preserve"> must write for a specific goal and/or outcome</w:t>
      </w:r>
      <w:r w:rsidR="0074439F">
        <w:t>, have focus and purpose, and are strongly invested in clear communication</w:t>
      </w:r>
      <w:r>
        <w:t xml:space="preserve">. </w:t>
      </w:r>
      <w:r w:rsidR="0074439F">
        <w:t>Researchers also report that s</w:t>
      </w:r>
      <w:r>
        <w:t>tudents learn more and appreciate directed research where they play a significant role (Chapman 2003</w:t>
      </w:r>
      <w:r w:rsidRPr="00AD3FE2">
        <w:t>)</w:t>
      </w:r>
      <w:r>
        <w:t xml:space="preserve">. </w:t>
      </w:r>
    </w:p>
    <w:p w14:paraId="63EFAE24" w14:textId="77777777" w:rsidR="00D137E2" w:rsidRDefault="00D137E2" w:rsidP="00AF7936"/>
    <w:p w14:paraId="04D7AB8D" w14:textId="5340654A" w:rsidR="008741E7" w:rsidRDefault="00C5580B" w:rsidP="00AF7936">
      <w:r>
        <w:t>Chapman (2003) attributes t</w:t>
      </w:r>
      <w:r w:rsidR="00AF7936">
        <w:t xml:space="preserve">he success of </w:t>
      </w:r>
      <w:r w:rsidR="00D137E2">
        <w:t xml:space="preserve">Samford’s </w:t>
      </w:r>
      <w:r w:rsidR="00AF7936">
        <w:t xml:space="preserve">program </w:t>
      </w:r>
      <w:r>
        <w:t>to</w:t>
      </w:r>
      <w:r w:rsidR="00AF7936">
        <w:t xml:space="preserve"> the funding that supports it. In addition to salary, the university provides s</w:t>
      </w:r>
      <w:r w:rsidR="008741E7">
        <w:t xml:space="preserve">eparate funding for professors </w:t>
      </w:r>
      <w:r w:rsidR="001B493A">
        <w:t xml:space="preserve">who </w:t>
      </w:r>
      <w:r w:rsidR="008741E7">
        <w:t xml:space="preserve">teach senior seminars or directed research courses, </w:t>
      </w:r>
      <w:r w:rsidR="00AF7936">
        <w:t xml:space="preserve">for </w:t>
      </w:r>
      <w:r w:rsidR="008741E7">
        <w:t xml:space="preserve">students </w:t>
      </w:r>
      <w:r w:rsidR="001B493A">
        <w:t xml:space="preserve">who </w:t>
      </w:r>
      <w:r w:rsidR="008741E7">
        <w:t xml:space="preserve">travel to NCUR, and </w:t>
      </w:r>
      <w:r w:rsidR="00A65973">
        <w:t xml:space="preserve">for the production of </w:t>
      </w:r>
      <w:r w:rsidR="008741E7">
        <w:t>the</w:t>
      </w:r>
      <w:r>
        <w:t xml:space="preserve"> Student Showcase</w:t>
      </w:r>
      <w:r w:rsidR="008741E7">
        <w:t xml:space="preserve">. </w:t>
      </w:r>
    </w:p>
    <w:p w14:paraId="454E6962" w14:textId="77777777" w:rsidR="00AF7936" w:rsidRDefault="00AF7936" w:rsidP="00AF7936"/>
    <w:p w14:paraId="6C2DBE79" w14:textId="240E252E" w:rsidR="00AF7936" w:rsidRDefault="001D0637" w:rsidP="00AF7936">
      <w:pPr>
        <w:rPr>
          <w:b/>
        </w:rPr>
      </w:pPr>
      <w:r w:rsidRPr="001D0637">
        <w:rPr>
          <w:b/>
        </w:rPr>
        <w:t>Department Programs</w:t>
      </w:r>
    </w:p>
    <w:p w14:paraId="232030BC" w14:textId="749C153E" w:rsidR="00FE12BE" w:rsidRDefault="00FE12BE" w:rsidP="00FE12BE">
      <w:r>
        <w:t>Within individual STEM departments, writing instruction can be organiz</w:t>
      </w:r>
      <w:r w:rsidR="00C5580B">
        <w:t>ed to improve student outcomes across multiple upper-division courses. To accomplish this, f</w:t>
      </w:r>
      <w:r w:rsidR="00D137E2">
        <w:t>aculty within STEM departments must work closely to create clear goals and objectives</w:t>
      </w:r>
      <w:r>
        <w:t>,</w:t>
      </w:r>
      <w:r w:rsidR="00D137E2">
        <w:t xml:space="preserve"> </w:t>
      </w:r>
      <w:r>
        <w:t xml:space="preserve">both </w:t>
      </w:r>
      <w:r w:rsidR="00D137E2">
        <w:t>within individual classes and</w:t>
      </w:r>
      <w:r w:rsidR="00C72CFC">
        <w:t xml:space="preserve"> through</w:t>
      </w:r>
      <w:r w:rsidR="00D137E2">
        <w:t xml:space="preserve"> </w:t>
      </w:r>
      <w:r w:rsidR="00C5580B">
        <w:t xml:space="preserve">the </w:t>
      </w:r>
      <w:r w:rsidR="00D137E2">
        <w:t xml:space="preserve">series of classes required for graduation within the major. </w:t>
      </w:r>
      <w:r>
        <w:t xml:space="preserve">These goals and objectives must be made clear to students throughout their university careers. For </w:t>
      </w:r>
      <w:r w:rsidR="00C72CFC">
        <w:t>example, Stewart, et al. (2015)</w:t>
      </w:r>
      <w:r>
        <w:t xml:space="preserve"> suggested that d</w:t>
      </w:r>
      <w:r w:rsidR="00AD3FE2">
        <w:t xml:space="preserve">epartments </w:t>
      </w:r>
      <w:r w:rsidR="00C72CFC">
        <w:t xml:space="preserve">draft and </w:t>
      </w:r>
      <w:r w:rsidR="00A04878">
        <w:t xml:space="preserve">implement </w:t>
      </w:r>
      <w:r w:rsidR="00AD3FE2">
        <w:t>operational definitions for proficiency in oral and written communication, quantitative reasoning, information literacy, and other key educational outcomes</w:t>
      </w:r>
      <w:r>
        <w:t xml:space="preserve">. They found that these definitions were </w:t>
      </w:r>
      <w:r w:rsidR="00AD3FE2">
        <w:t>especially helpful if integrated into grading rubric</w:t>
      </w:r>
      <w:r>
        <w:t>s and student learning outcomes so that students could link individual assignments/efforts to their overall educational goals.</w:t>
      </w:r>
    </w:p>
    <w:p w14:paraId="7B220712" w14:textId="77777777" w:rsidR="00C72CFC" w:rsidRDefault="00C72CFC" w:rsidP="00FE12BE"/>
    <w:p w14:paraId="5CE617EE" w14:textId="55EA1A8B" w:rsidR="000221F1" w:rsidRDefault="00C72CFC" w:rsidP="000221F1">
      <w:r>
        <w:t xml:space="preserve">The </w:t>
      </w:r>
      <w:r w:rsidR="003A0042">
        <w:t xml:space="preserve">STEM </w:t>
      </w:r>
      <w:r>
        <w:t xml:space="preserve">departments that implemented successful </w:t>
      </w:r>
      <w:r w:rsidR="003A0042">
        <w:t xml:space="preserve">department-wide writing programs reported </w:t>
      </w:r>
      <w:r w:rsidR="00720DB8">
        <w:t xml:space="preserve">working with professionals to develop curriculum that best prepares students for jobs in their fields (Conrad, et al. 2015), </w:t>
      </w:r>
      <w:r w:rsidR="003A0042">
        <w:t>scaffolding skills within and between classes</w:t>
      </w:r>
      <w:r w:rsidR="00720DB8">
        <w:t xml:space="preserve"> to provide constant and consistent student exposure to the curriculum </w:t>
      </w:r>
      <w:r w:rsidR="00720DB8" w:rsidRPr="00720DB8">
        <w:t>(Stewart, et al. 2015, Chapman 2003, Monroe 2003)</w:t>
      </w:r>
      <w:r w:rsidR="003A0042">
        <w:t xml:space="preserve">, as well as using writing </w:t>
      </w:r>
      <w:r w:rsidR="001D79CF">
        <w:t xml:space="preserve">portfolios or </w:t>
      </w:r>
      <w:r w:rsidR="003A0042">
        <w:t>samples from throughout a student’s journey towards graduation</w:t>
      </w:r>
      <w:r w:rsidR="001D79CF">
        <w:t xml:space="preserve"> to evaluate writing progres</w:t>
      </w:r>
      <w:r w:rsidR="001D79CF" w:rsidRPr="00720DB8">
        <w:t>s</w:t>
      </w:r>
      <w:r w:rsidR="00720DB8">
        <w:t xml:space="preserve"> (Chapman 2003; Nelson and Hayes 1988)</w:t>
      </w:r>
      <w:r w:rsidR="003A0042" w:rsidRPr="00720DB8">
        <w:t>.</w:t>
      </w:r>
      <w:r w:rsidR="000221F1" w:rsidRPr="00720DB8">
        <w:t xml:space="preserve"> </w:t>
      </w:r>
    </w:p>
    <w:p w14:paraId="73074583" w14:textId="77777777" w:rsidR="003A0042" w:rsidRDefault="003A0042" w:rsidP="00FE12BE"/>
    <w:p w14:paraId="0B27E26F" w14:textId="0ADBA3FD" w:rsidR="00720DB8" w:rsidRDefault="00720DB8" w:rsidP="00720DB8">
      <w:r w:rsidRPr="00BB0BD6">
        <w:rPr>
          <w:u w:val="single"/>
        </w:rPr>
        <w:t>Collaboration Among Faculty, Practitioners, and Writing Specialists.</w:t>
      </w:r>
      <w:r w:rsidRPr="00BB0BD6">
        <w:t xml:space="preserve"> </w:t>
      </w:r>
      <w:r>
        <w:t xml:space="preserve">The Civil Engineering Writing Project is </w:t>
      </w:r>
      <w:r w:rsidRPr="00BB0BD6">
        <w:t>based at Portland State University</w:t>
      </w:r>
      <w:r>
        <w:t xml:space="preserve"> and</w:t>
      </w:r>
      <w:r w:rsidRPr="00BB0BD6">
        <w:t xml:space="preserve"> also includes Cal Poly Pomona, Howard University, and La</w:t>
      </w:r>
      <w:r>
        <w:t>wrence Technological University (Conrad, et al. 2015)</w:t>
      </w:r>
      <w:r w:rsidR="00C5580B">
        <w:t>. The purpose of this</w:t>
      </w:r>
      <w:r>
        <w:t xml:space="preserve"> project is to assemble practitioners, applied linguists, and engineering faculty to examine the differences between student and practitioner writing and develop materials to address student weaknesses and assess effectiveness. After preliminary analyses, the panel created new teaching materials, which were incorporated into existing upper-division engineering courses; these materials are currently being assessed for their effectiveness.</w:t>
      </w:r>
    </w:p>
    <w:p w14:paraId="59F6CAC3" w14:textId="4C67728D" w:rsidR="00A65973" w:rsidRDefault="00A65973" w:rsidP="00720DB8"/>
    <w:p w14:paraId="22B59079" w14:textId="3788B8D6" w:rsidR="00720DB8" w:rsidRDefault="00720DB8" w:rsidP="00720DB8">
      <w:r>
        <w:t xml:space="preserve">The principles underlying the project include </w:t>
      </w:r>
    </w:p>
    <w:p w14:paraId="2A74371E" w14:textId="00C0E3F0" w:rsidR="00720DB8" w:rsidRDefault="001B493A" w:rsidP="00720DB8">
      <w:pPr>
        <w:pStyle w:val="ListParagraph"/>
        <w:numPr>
          <w:ilvl w:val="0"/>
          <w:numId w:val="18"/>
        </w:numPr>
      </w:pPr>
      <w:r>
        <w:t xml:space="preserve">collaboration </w:t>
      </w:r>
      <w:r w:rsidR="00720DB8">
        <w:t xml:space="preserve">with professionals, who provide current industry contexts and needs; </w:t>
      </w:r>
    </w:p>
    <w:p w14:paraId="4773467A" w14:textId="002BD7EB" w:rsidR="00720DB8" w:rsidRDefault="001B493A" w:rsidP="00720DB8">
      <w:pPr>
        <w:pStyle w:val="ListParagraph"/>
        <w:numPr>
          <w:ilvl w:val="0"/>
          <w:numId w:val="18"/>
        </w:numPr>
      </w:pPr>
      <w:r>
        <w:t xml:space="preserve">empirical </w:t>
      </w:r>
      <w:r w:rsidR="00720DB8">
        <w:t>analysis of writing, including the identification of differences between practitioner and student writing (e.g.,</w:t>
      </w:r>
      <w:r w:rsidR="00720DB8" w:rsidRPr="00C97786">
        <w:t xml:space="preserve"> </w:t>
      </w:r>
      <w:r w:rsidR="00720DB8">
        <w:t>organization, language, etc.);</w:t>
      </w:r>
    </w:p>
    <w:p w14:paraId="2C638239" w14:textId="09B763AA" w:rsidR="00720DB8" w:rsidRDefault="001B493A" w:rsidP="00720DB8">
      <w:pPr>
        <w:pStyle w:val="ListParagraph"/>
        <w:numPr>
          <w:ilvl w:val="0"/>
          <w:numId w:val="18"/>
        </w:numPr>
      </w:pPr>
      <w:r>
        <w:lastRenderedPageBreak/>
        <w:t xml:space="preserve">functional </w:t>
      </w:r>
      <w:r w:rsidR="00720DB8">
        <w:t xml:space="preserve">perspective on language, including the impact of word use on meaning and communication, not just stylistic concerns; </w:t>
      </w:r>
    </w:p>
    <w:p w14:paraId="00879EA0" w14:textId="60DDD258" w:rsidR="00720DB8" w:rsidRDefault="001B493A" w:rsidP="00720DB8">
      <w:pPr>
        <w:pStyle w:val="ListParagraph"/>
        <w:numPr>
          <w:ilvl w:val="0"/>
          <w:numId w:val="18"/>
        </w:numPr>
      </w:pPr>
      <w:r>
        <w:t xml:space="preserve">direct </w:t>
      </w:r>
      <w:r w:rsidR="00720DB8">
        <w:t xml:space="preserve">instruction, wherein instructors clearly </w:t>
      </w:r>
      <w:r w:rsidR="00A04878">
        <w:t>outline</w:t>
      </w:r>
      <w:r w:rsidR="00720DB8">
        <w:t xml:space="preserve"> expectations for </w:t>
      </w:r>
      <w:r w:rsidR="00A04878">
        <w:t xml:space="preserve">writing in </w:t>
      </w:r>
      <w:r w:rsidR="00720DB8">
        <w:t>workplace genres,</w:t>
      </w:r>
      <w:r w:rsidR="00A04878">
        <w:t xml:space="preserve"> including the use of specific language</w:t>
      </w:r>
      <w:r w:rsidR="00720DB8">
        <w:t xml:space="preserve"> and grammar; and</w:t>
      </w:r>
    </w:p>
    <w:p w14:paraId="6DDD1266" w14:textId="598E49CD" w:rsidR="00720DB8" w:rsidRDefault="001B493A" w:rsidP="00720DB8">
      <w:pPr>
        <w:pStyle w:val="ListParagraph"/>
        <w:numPr>
          <w:ilvl w:val="0"/>
          <w:numId w:val="18"/>
        </w:numPr>
      </w:pPr>
      <w:r>
        <w:t xml:space="preserve">design </w:t>
      </w:r>
      <w:r w:rsidR="00720DB8">
        <w:t>and integration of new materials into existing courses, so that no new programming is needed.</w:t>
      </w:r>
    </w:p>
    <w:p w14:paraId="5517CEB0" w14:textId="77777777" w:rsidR="00720DB8" w:rsidRDefault="00720DB8" w:rsidP="00720DB8"/>
    <w:p w14:paraId="0D611014" w14:textId="61703CC8" w:rsidR="00720DB8" w:rsidRDefault="00720DB8" w:rsidP="00720DB8">
      <w:r>
        <w:t xml:space="preserve">The outcome of the project was the development of new course materials: free-standing units that can be incorporated into engineering classes. The materials address the principles stated </w:t>
      </w:r>
      <w:r w:rsidR="00B82C93">
        <w:t>above, plus an additional criterion;</w:t>
      </w:r>
      <w:r>
        <w:t xml:space="preserve"> materials clarify student misconceptions about writing and provide numerous examples of practitioner work. The new materials include</w:t>
      </w:r>
    </w:p>
    <w:p w14:paraId="5FB29672" w14:textId="1610B80E" w:rsidR="00720DB8" w:rsidRDefault="001B493A" w:rsidP="00720DB8">
      <w:pPr>
        <w:pStyle w:val="ListParagraph"/>
        <w:numPr>
          <w:ilvl w:val="0"/>
          <w:numId w:val="19"/>
        </w:numPr>
      </w:pPr>
      <w:r>
        <w:t xml:space="preserve">introductory </w:t>
      </w:r>
      <w:r w:rsidR="00720DB8">
        <w:t xml:space="preserve">units, which review </w:t>
      </w:r>
      <w:r w:rsidR="00A04878">
        <w:t xml:space="preserve">basic writing </w:t>
      </w:r>
      <w:r w:rsidR="00720DB8">
        <w:t xml:space="preserve">principles </w:t>
      </w:r>
      <w:r w:rsidR="00A04878">
        <w:t>covered in</w:t>
      </w:r>
      <w:r w:rsidR="00720DB8">
        <w:t xml:space="preserve"> previous writing courses (e.g., writing is an iterative process that includes review and revision, audience and purpose shape writing) using practitioner examples;</w:t>
      </w:r>
    </w:p>
    <w:p w14:paraId="614282AE" w14:textId="5E3D0231" w:rsidR="00720DB8" w:rsidRDefault="001B493A" w:rsidP="00720DB8">
      <w:pPr>
        <w:pStyle w:val="ListParagraph"/>
        <w:numPr>
          <w:ilvl w:val="0"/>
          <w:numId w:val="19"/>
        </w:numPr>
      </w:pPr>
      <w:r>
        <w:t>genre</w:t>
      </w:r>
      <w:r w:rsidR="00720DB8">
        <w:t xml:space="preserve">-based units, which cover the typical purpose, audience, organization, and format of specific professional document types (using explicit comparisons with student writing for contrast); </w:t>
      </w:r>
    </w:p>
    <w:p w14:paraId="4F9C434C" w14:textId="23D1423D" w:rsidR="00720DB8" w:rsidRDefault="001B493A" w:rsidP="00720DB8">
      <w:pPr>
        <w:pStyle w:val="ListParagraph"/>
        <w:numPr>
          <w:ilvl w:val="0"/>
          <w:numId w:val="19"/>
        </w:numPr>
      </w:pPr>
      <w:r>
        <w:t xml:space="preserve">language </w:t>
      </w:r>
      <w:r w:rsidR="00720DB8">
        <w:t>units, which address effective language choices in civil engineering contexts (e.g., explain which words to use and why, how to simplify and clarify language).</w:t>
      </w:r>
    </w:p>
    <w:p w14:paraId="38CE9EA4" w14:textId="77777777" w:rsidR="00720DB8" w:rsidRDefault="00720DB8" w:rsidP="00720DB8"/>
    <w:p w14:paraId="69A8BFDC" w14:textId="429BE9E8" w:rsidR="00720DB8" w:rsidRDefault="00720DB8" w:rsidP="00720DB8">
      <w:r>
        <w:t xml:space="preserve">The units were incorporated into </w:t>
      </w:r>
      <w:r w:rsidR="001B493A">
        <w:t xml:space="preserve">seven </w:t>
      </w:r>
      <w:r>
        <w:t>civil engineering courses, and the quantitative results of the first term of the study showed statistically</w:t>
      </w:r>
      <w:r w:rsidR="001B493A">
        <w:t xml:space="preserve"> </w:t>
      </w:r>
      <w:r>
        <w:t>significant improvements in sentence structure (p&lt;0.01), word choices (p&lt;0.05), effectiveness of rhetorical functions (p&lt;0.001), and improvement in scores (p&lt;0.05). The success of these units indicate that collaborations between STEM faculty, practitioners/professionals, and linguists/writing specialists are effective in bridging the gap between student writing and practitioner writing, and also in preparing students for professional work in their STEM field so that prospective job seekers are well-qualified and competitive.</w:t>
      </w:r>
    </w:p>
    <w:p w14:paraId="7347D8E4" w14:textId="77777777" w:rsidR="003A0042" w:rsidRDefault="003A0042" w:rsidP="00FE12BE"/>
    <w:p w14:paraId="10636A3D" w14:textId="188EA556" w:rsidR="00F410DE" w:rsidRDefault="00E97AD2" w:rsidP="00FE12BE">
      <w:r w:rsidRPr="00E97AD2">
        <w:rPr>
          <w:u w:val="single"/>
        </w:rPr>
        <w:t>Scaffolding.</w:t>
      </w:r>
      <w:r>
        <w:t xml:space="preserve"> </w:t>
      </w:r>
      <w:r w:rsidR="003A0042">
        <w:t xml:space="preserve">The Chemistry Department at the University of Toronto </w:t>
      </w:r>
      <w:r w:rsidR="00EA09AD">
        <w:t>uses</w:t>
      </w:r>
      <w:r w:rsidR="003A0042">
        <w:t xml:space="preserve"> a coordinated approach to teaching writing across five third-year, single-semester undergraduate courses</w:t>
      </w:r>
      <w:r w:rsidR="005F4908">
        <w:t xml:space="preserve"> </w:t>
      </w:r>
      <w:r w:rsidR="00EA09AD">
        <w:t>via their</w:t>
      </w:r>
      <w:r w:rsidR="00F71255">
        <w:t xml:space="preserve"> </w:t>
      </w:r>
      <w:r>
        <w:t xml:space="preserve">Writing Instruction and Training (WIT) </w:t>
      </w:r>
      <w:r w:rsidR="00EA09AD">
        <w:t xml:space="preserve">program (Stewart, et al. 2015). WIT is </w:t>
      </w:r>
      <w:r w:rsidR="00F410DE">
        <w:t>a university-supported program that assists departments in designing writing programs to strengthen and improve student writing</w:t>
      </w:r>
      <w:r w:rsidR="00EA09AD">
        <w:t>; t</w:t>
      </w:r>
      <w:r w:rsidR="00F410DE">
        <w:t xml:space="preserve">he Chemistry Department implemented the WIT program over six years and </w:t>
      </w:r>
      <w:r w:rsidR="00EA09AD">
        <w:t>found</w:t>
      </w:r>
      <w:r w:rsidR="00F410DE">
        <w:t xml:space="preserve"> that </w:t>
      </w:r>
      <w:r w:rsidR="00EA09AD">
        <w:t xml:space="preserve">student </w:t>
      </w:r>
      <w:r w:rsidR="00F410DE">
        <w:t>survey res</w:t>
      </w:r>
      <w:r w:rsidR="00EA09AD">
        <w:t>ults</w:t>
      </w:r>
      <w:r w:rsidR="00F410DE">
        <w:t xml:space="preserve"> </w:t>
      </w:r>
      <w:r w:rsidR="00EA09AD">
        <w:t>indicated notable positive responses, especially as students participated in the program for longer periods of time.</w:t>
      </w:r>
      <w:r w:rsidR="00BE2D39">
        <w:t xml:space="preserve"> This published paper provided substantial detail about the design and implementation of their program.</w:t>
      </w:r>
    </w:p>
    <w:p w14:paraId="0D1FE7EB" w14:textId="77777777" w:rsidR="00F410DE" w:rsidRDefault="00F410DE" w:rsidP="00FE12BE"/>
    <w:p w14:paraId="19BF84FA" w14:textId="203B3B04" w:rsidR="00F410DE" w:rsidRDefault="00EA09AD" w:rsidP="00FE12BE">
      <w:r>
        <w:t>The WIT program uses</w:t>
      </w:r>
      <w:r w:rsidR="00F410DE">
        <w:t xml:space="preserve"> a hierarchy of both faculty and trained teaching assistants to provide students with writing feedback in third-year lab-based undergraduate classes. The program </w:t>
      </w:r>
      <w:r w:rsidR="00C5580B">
        <w:t>i</w:t>
      </w:r>
      <w:r w:rsidR="00F71255">
        <w:t>s organized so that</w:t>
      </w:r>
      <w:r w:rsidR="005F4908">
        <w:t xml:space="preserve"> chem</w:t>
      </w:r>
      <w:r w:rsidR="00F71255">
        <w:t>ist</w:t>
      </w:r>
      <w:r w:rsidR="00C5580B">
        <w:t>ry majors</w:t>
      </w:r>
      <w:r w:rsidR="00F71255">
        <w:t xml:space="preserve"> take at least</w:t>
      </w:r>
      <w:r w:rsidR="005F4908">
        <w:t xml:space="preserve"> one of the participating courses </w:t>
      </w:r>
      <w:r w:rsidR="00F71255">
        <w:t xml:space="preserve">during their </w:t>
      </w:r>
      <w:r w:rsidR="001B493A">
        <w:t>upper-</w:t>
      </w:r>
      <w:r w:rsidR="00F71255">
        <w:t>division coursework within the department</w:t>
      </w:r>
      <w:r w:rsidR="00C5580B">
        <w:t>, although most students take</w:t>
      </w:r>
      <w:r w:rsidR="00F410DE">
        <w:t xml:space="preserve"> several WIT classes </w:t>
      </w:r>
      <w:r w:rsidR="00E97AD2">
        <w:t xml:space="preserve">(Stewart, et al. 2015). </w:t>
      </w:r>
    </w:p>
    <w:p w14:paraId="096DF81C" w14:textId="77777777" w:rsidR="00F410DE" w:rsidRDefault="00F410DE" w:rsidP="00FE12BE"/>
    <w:p w14:paraId="1466B2A0" w14:textId="5200B8F8" w:rsidR="00BA42A3" w:rsidRDefault="004119AC" w:rsidP="00FE12BE">
      <w:r>
        <w:t>For the study, t</w:t>
      </w:r>
      <w:r w:rsidR="00F71255">
        <w:t xml:space="preserve">he program </w:t>
      </w:r>
      <w:r w:rsidR="00B8790B">
        <w:t xml:space="preserve">coordinator (a faculty member within </w:t>
      </w:r>
      <w:r>
        <w:t>the Chemistry Department) worked</w:t>
      </w:r>
      <w:r w:rsidR="00B8790B">
        <w:t xml:space="preserve"> with faculty and the WIT director to identify components within the selected classes that could be modified to incorporate enhanced writing elements. Additional materials were drafted for students, including rubrics, writing tip sheets, and supplementary writing information. These components were incorporated into existing assignments</w:t>
      </w:r>
      <w:r w:rsidR="00BA42A3">
        <w:t xml:space="preserve"> (e.g., lab manuals), an initial investment of</w:t>
      </w:r>
      <w:r w:rsidR="00B8790B">
        <w:t xml:space="preserve"> between 2-10 hours per course (Stewart, et al. 2015). The courses and assignments stayed relatively stable over the course of the study, so little additional time and ene</w:t>
      </w:r>
      <w:r w:rsidR="00BA42A3">
        <w:t xml:space="preserve">rgy </w:t>
      </w:r>
      <w:r w:rsidR="001B493A">
        <w:t xml:space="preserve">were </w:t>
      </w:r>
      <w:r w:rsidR="00BA42A3">
        <w:t>needed beyond the first effort.</w:t>
      </w:r>
      <w:r w:rsidRPr="004119AC">
        <w:t xml:space="preserve"> </w:t>
      </w:r>
      <w:r>
        <w:t>Approximately 90-120 students participated in the program over the six-year study.</w:t>
      </w:r>
    </w:p>
    <w:p w14:paraId="0F4FDF2E" w14:textId="77777777" w:rsidR="00BA42A3" w:rsidRDefault="00BA42A3" w:rsidP="00FE12BE"/>
    <w:p w14:paraId="0631AC6D" w14:textId="76066D21" w:rsidR="00BA42A3" w:rsidRDefault="00BA42A3" w:rsidP="00FE12BE">
      <w:r>
        <w:t xml:space="preserve">After the writing materials were drafted, the departmental WIT </w:t>
      </w:r>
      <w:r w:rsidR="004621E8">
        <w:t>C</w:t>
      </w:r>
      <w:r>
        <w:t xml:space="preserve">oordinator worked with the Lead Writing Teaching Assistant, who then trained the course TAs to support instruction and grading. Specific roles and responsibilities, including writing evaluation, were set for both faculty and TAs. Rubrics and sample papers were used to ensure consistent grading, and specific instruction for TA feedback on student papers was </w:t>
      </w:r>
      <w:r w:rsidR="00706414">
        <w:t xml:space="preserve">taught and </w:t>
      </w:r>
      <w:r>
        <w:t xml:space="preserve">practiced. The Lead Writing Teaching Assistant was available for consultation by TAs all semester and provides a course evaluation to the faculty/instructor at the end of the semester. </w:t>
      </w:r>
      <w:r w:rsidR="00706414">
        <w:t>One of the most important concepts is the focus on the specific assignment, class outcomes, and how the efforts of both faculty and TAs support the WIT program goals within the department. These efforts may necessitate the separation of content goals from writing goals.</w:t>
      </w:r>
    </w:p>
    <w:p w14:paraId="32C1C5DE" w14:textId="77777777" w:rsidR="00FE12BE" w:rsidRDefault="00FE12BE" w:rsidP="00FE12BE"/>
    <w:p w14:paraId="33793B2A" w14:textId="3AAA70D0" w:rsidR="00706414" w:rsidRDefault="00BA42A3" w:rsidP="00691894">
      <w:r>
        <w:t xml:space="preserve">The scaffolded skills </w:t>
      </w:r>
      <w:r w:rsidR="000221F1">
        <w:t xml:space="preserve">taught to students are intended to teach </w:t>
      </w:r>
      <w:r>
        <w:t>professional writing abilities needed by graduates enter</w:t>
      </w:r>
      <w:r w:rsidR="00706414">
        <w:t>ing the work force in Chemistry</w:t>
      </w:r>
      <w:r w:rsidR="001D7427">
        <w:t>:</w:t>
      </w:r>
      <w:r w:rsidR="00706414">
        <w:t xml:space="preserve"> </w:t>
      </w:r>
      <w:r w:rsidR="000221F1">
        <w:t>reading examples of professional writing, research</w:t>
      </w:r>
      <w:r w:rsidR="004621E8">
        <w:t>ing</w:t>
      </w:r>
      <w:r w:rsidR="000221F1">
        <w:t xml:space="preserve">, </w:t>
      </w:r>
      <w:r w:rsidR="004621E8">
        <w:t xml:space="preserve">learning </w:t>
      </w:r>
      <w:r w:rsidR="000221F1">
        <w:t xml:space="preserve">construction of an academic paper or other professional paper, </w:t>
      </w:r>
      <w:r w:rsidR="004621E8">
        <w:t xml:space="preserve">becoming proficient in </w:t>
      </w:r>
      <w:r w:rsidR="000221F1">
        <w:t>grammar</w:t>
      </w:r>
      <w:r w:rsidR="004621E8">
        <w:t xml:space="preserve"> and sentence construction</w:t>
      </w:r>
      <w:r w:rsidR="001D7427">
        <w:t>,</w:t>
      </w:r>
      <w:r w:rsidR="000221F1">
        <w:t xml:space="preserve"> and </w:t>
      </w:r>
      <w:r w:rsidR="004621E8">
        <w:t xml:space="preserve">using </w:t>
      </w:r>
      <w:r w:rsidR="000221F1">
        <w:t>genre-specific language. The components deemed most successful in improving student writing in STEM</w:t>
      </w:r>
      <w:r w:rsidR="001D7427">
        <w:t xml:space="preserve"> are</w:t>
      </w:r>
    </w:p>
    <w:p w14:paraId="56B44F8C" w14:textId="676D5F17" w:rsidR="000221F1" w:rsidRDefault="001D7427" w:rsidP="000221F1">
      <w:pPr>
        <w:pStyle w:val="ListParagraph"/>
        <w:numPr>
          <w:ilvl w:val="0"/>
          <w:numId w:val="12"/>
        </w:numPr>
      </w:pPr>
      <w:r>
        <w:t xml:space="preserve">using </w:t>
      </w:r>
      <w:r w:rsidR="000221F1">
        <w:t>design elements in several courses to better communicate the department’s message about writing,</w:t>
      </w:r>
    </w:p>
    <w:p w14:paraId="4FA3454F" w14:textId="34268A55" w:rsidR="000221F1" w:rsidRDefault="001D7427" w:rsidP="000221F1">
      <w:pPr>
        <w:pStyle w:val="ListParagraph"/>
        <w:numPr>
          <w:ilvl w:val="0"/>
          <w:numId w:val="12"/>
        </w:numPr>
      </w:pPr>
      <w:r>
        <w:t xml:space="preserve">decoupling </w:t>
      </w:r>
      <w:r w:rsidR="000221F1">
        <w:t xml:space="preserve">assessment of content from writing in assignments, </w:t>
      </w:r>
    </w:p>
    <w:p w14:paraId="48A64F50" w14:textId="2C916884" w:rsidR="000221F1" w:rsidRDefault="001D7427" w:rsidP="000221F1">
      <w:pPr>
        <w:pStyle w:val="ListParagraph"/>
        <w:numPr>
          <w:ilvl w:val="0"/>
          <w:numId w:val="12"/>
        </w:numPr>
      </w:pPr>
      <w:r>
        <w:t xml:space="preserve">offering </w:t>
      </w:r>
      <w:r w:rsidR="000221F1">
        <w:t>low-stakes writing tasks that encourage iteration</w:t>
      </w:r>
      <w:r w:rsidR="00957C6E">
        <w:t xml:space="preserve"> (turning in lab reports for comment but no grade and then revising for final submission)</w:t>
      </w:r>
      <w:r w:rsidR="000221F1">
        <w:t xml:space="preserve">, </w:t>
      </w:r>
    </w:p>
    <w:p w14:paraId="68E2BD70" w14:textId="4B270733" w:rsidR="000221F1" w:rsidRDefault="001D7427" w:rsidP="000221F1">
      <w:pPr>
        <w:pStyle w:val="ListParagraph"/>
        <w:numPr>
          <w:ilvl w:val="0"/>
          <w:numId w:val="12"/>
        </w:numPr>
      </w:pPr>
      <w:r>
        <w:t xml:space="preserve">using highly </w:t>
      </w:r>
      <w:r w:rsidR="000221F1">
        <w:t>structured short tasks like writing abstracts</w:t>
      </w:r>
      <w:r w:rsidR="00957C6E">
        <w:t xml:space="preserve"> (including fixing “bad” abstracts by rewriting them and using a model to compare their revisions), </w:t>
      </w:r>
      <w:r>
        <w:t>and</w:t>
      </w:r>
    </w:p>
    <w:p w14:paraId="20CB5499" w14:textId="74BDA138" w:rsidR="00706414" w:rsidRDefault="001D7427" w:rsidP="00691894">
      <w:pPr>
        <w:pStyle w:val="ListParagraph"/>
        <w:numPr>
          <w:ilvl w:val="0"/>
          <w:numId w:val="12"/>
        </w:numPr>
      </w:pPr>
      <w:r>
        <w:t>providing</w:t>
      </w:r>
      <w:r w:rsidR="00957C6E">
        <w:t xml:space="preserve"> section-by-section objectives and evaluation criteria</w:t>
      </w:r>
      <w:r>
        <w:t xml:space="preserve"> in highly structured rubrics</w:t>
      </w:r>
      <w:r w:rsidR="00957C6E">
        <w:t>.</w:t>
      </w:r>
    </w:p>
    <w:p w14:paraId="4C87C982" w14:textId="77777777" w:rsidR="00691894" w:rsidRDefault="00691894" w:rsidP="00FE12BE"/>
    <w:p w14:paraId="151B0A8F" w14:textId="1FE95240" w:rsidR="00957C6E" w:rsidRDefault="00957C6E" w:rsidP="00FE12BE">
      <w:r>
        <w:t xml:space="preserve">Surveys of undergraduate students </w:t>
      </w:r>
      <w:r w:rsidR="001D7427">
        <w:t xml:space="preserve">who </w:t>
      </w:r>
      <w:r>
        <w:t>participated in the WIT program within the Chemistry Department</w:t>
      </w:r>
      <w:r w:rsidR="003B1A3A">
        <w:t xml:space="preserve"> show strong feelings among students that the writing feedback provided </w:t>
      </w:r>
      <w:r w:rsidR="001D7427">
        <w:t xml:space="preserve">by the </w:t>
      </w:r>
      <w:r w:rsidR="003B1A3A">
        <w:t>WIT program was helpful (approximately 80%), would help them write better lab reports in future classes (approximately 85%), and would help them be better scientific writer</w:t>
      </w:r>
      <w:r w:rsidR="001D7427">
        <w:t>s</w:t>
      </w:r>
      <w:r w:rsidR="003B1A3A">
        <w:t xml:space="preserve"> after graduation (approximately 96%) (Stewart, et al. 2015). Seniors </w:t>
      </w:r>
      <w:r w:rsidR="001D79CF">
        <w:t xml:space="preserve">(students </w:t>
      </w:r>
      <w:r w:rsidR="001D7427">
        <w:t xml:space="preserve">who </w:t>
      </w:r>
      <w:r w:rsidR="001D79CF">
        <w:t>completed all graduate requirements, including WIT classes)</w:t>
      </w:r>
      <w:r w:rsidR="00373470">
        <w:t xml:space="preserve"> strongly agreed that the WIT program and </w:t>
      </w:r>
      <w:r w:rsidR="00373470">
        <w:lastRenderedPageBreak/>
        <w:t>feedback from their TAs helped them self-evaluate and identify areas to work on their writing (92%) and improved specific writing skills within their genre/major (84%).</w:t>
      </w:r>
    </w:p>
    <w:p w14:paraId="06287CB9" w14:textId="77777777" w:rsidR="00957C6E" w:rsidRDefault="00957C6E" w:rsidP="00FE12BE"/>
    <w:p w14:paraId="6196F1FD" w14:textId="7F9A8A52" w:rsidR="00373470" w:rsidRDefault="008364E0" w:rsidP="001362DE">
      <w:r w:rsidRPr="001D79CF">
        <w:rPr>
          <w:u w:val="single"/>
        </w:rPr>
        <w:t xml:space="preserve">Student Portfolios and </w:t>
      </w:r>
      <w:r w:rsidR="001D79CF" w:rsidRPr="001D79CF">
        <w:rPr>
          <w:u w:val="single"/>
        </w:rPr>
        <w:t>Writing Comparisons.</w:t>
      </w:r>
      <w:r w:rsidR="001D79CF">
        <w:t xml:space="preserve"> </w:t>
      </w:r>
      <w:r w:rsidR="00FE12BE">
        <w:t>Programs designed to incrementally improve STEM writing within departments can be measured by comparing</w:t>
      </w:r>
      <w:r w:rsidR="00AD3FE2">
        <w:t xml:space="preserve"> baseline abilities of first-year students with graduating seniors</w:t>
      </w:r>
      <w:r w:rsidR="00691894">
        <w:t xml:space="preserve"> (Chapman 2003; Nelson and Hayes 1988).</w:t>
      </w:r>
      <w:r w:rsidR="00AD3FE2">
        <w:t xml:space="preserve"> </w:t>
      </w:r>
      <w:r w:rsidR="00373470">
        <w:t>These comparisons benefit departments in two specific ways</w:t>
      </w:r>
      <w:r w:rsidR="00C158DA">
        <w:t xml:space="preserve">: </w:t>
      </w:r>
      <w:r w:rsidR="00373470">
        <w:t xml:space="preserve">they allow evaluation of the </w:t>
      </w:r>
      <w:r w:rsidR="00AD3FE2">
        <w:t xml:space="preserve">progress students </w:t>
      </w:r>
      <w:r w:rsidR="00373470">
        <w:t xml:space="preserve">make throughout their time in the department, and they also provide </w:t>
      </w:r>
      <w:r w:rsidR="00AD3FE2">
        <w:t xml:space="preserve">a </w:t>
      </w:r>
      <w:r w:rsidR="00373470">
        <w:t xml:space="preserve">range and </w:t>
      </w:r>
      <w:r w:rsidR="00AD3FE2">
        <w:t>realistic estimate of student achievement (Chapman 2003; Nelson and Hayes 1988).</w:t>
      </w:r>
      <w:r w:rsidR="001362DE">
        <w:t xml:space="preserve"> </w:t>
      </w:r>
      <w:r w:rsidR="00C479A9">
        <w:t>When combined with strong and clear criterion for student achievement, both portfolios and writing samples can be used to quantify assessments of any assignment and/or program that is implemented after the initial baseline is established.</w:t>
      </w:r>
    </w:p>
    <w:p w14:paraId="343B7E6C" w14:textId="77777777" w:rsidR="00691894" w:rsidRDefault="00691894" w:rsidP="00691894"/>
    <w:p w14:paraId="5ABA32F2" w14:textId="351F0B7F" w:rsidR="001A3C6A" w:rsidRDefault="004621E8" w:rsidP="00691894">
      <w:pPr>
        <w:rPr>
          <w:b/>
        </w:rPr>
      </w:pPr>
      <w:r>
        <w:rPr>
          <w:b/>
        </w:rPr>
        <w:t>Individual Courses</w:t>
      </w:r>
    </w:p>
    <w:p w14:paraId="2B9A3511" w14:textId="69BA99D0" w:rsidR="003B246A" w:rsidRPr="003B246A" w:rsidRDefault="003B246A" w:rsidP="00691894">
      <w:r>
        <w:t>Within an individual course, faculty can structure writing assignments to improve student writing throughout a semester and</w:t>
      </w:r>
      <w:r w:rsidR="00C479A9">
        <w:t xml:space="preserve"> potentially</w:t>
      </w:r>
      <w:r>
        <w:t xml:space="preserve"> achieve lasting improvements. Writing assignments can be linked/scaffolded, and/or structured to achieve specific goals and approaches, such as identifying genre specific organization or language,</w:t>
      </w:r>
      <w:r w:rsidR="00C479A9">
        <w:t xml:space="preserve"> and</w:t>
      </w:r>
      <w:r>
        <w:t xml:space="preserve"> </w:t>
      </w:r>
      <w:r w:rsidR="00C479A9">
        <w:t>include self-diagnoses of writing issues.</w:t>
      </w:r>
    </w:p>
    <w:p w14:paraId="55F28B5E" w14:textId="77777777" w:rsidR="003B246A" w:rsidRDefault="003B246A" w:rsidP="00691894">
      <w:pPr>
        <w:rPr>
          <w:u w:val="single"/>
        </w:rPr>
      </w:pPr>
    </w:p>
    <w:p w14:paraId="7C3DBBF9" w14:textId="2CD03F2C" w:rsidR="00702D53" w:rsidRDefault="00CD7CE6" w:rsidP="00691894">
      <w:pPr>
        <w:rPr>
          <w:u w:val="single"/>
        </w:rPr>
      </w:pPr>
      <w:r>
        <w:rPr>
          <w:u w:val="single"/>
        </w:rPr>
        <w:t xml:space="preserve">Improving </w:t>
      </w:r>
      <w:r w:rsidR="004119AC">
        <w:rPr>
          <w:u w:val="single"/>
        </w:rPr>
        <w:t>S</w:t>
      </w:r>
      <w:r w:rsidR="003F26A1">
        <w:rPr>
          <w:u w:val="single"/>
        </w:rPr>
        <w:t xml:space="preserve">tudents’ </w:t>
      </w:r>
      <w:r w:rsidR="004119AC">
        <w:rPr>
          <w:u w:val="single"/>
        </w:rPr>
        <w:t>Writing P</w:t>
      </w:r>
      <w:r>
        <w:rPr>
          <w:u w:val="single"/>
        </w:rPr>
        <w:t xml:space="preserve">rocess and </w:t>
      </w:r>
      <w:r w:rsidR="004119AC">
        <w:rPr>
          <w:u w:val="single"/>
        </w:rPr>
        <w:t>T</w:t>
      </w:r>
      <w:r w:rsidR="003F26A1">
        <w:rPr>
          <w:u w:val="single"/>
        </w:rPr>
        <w:t xml:space="preserve">eaching </w:t>
      </w:r>
      <w:r w:rsidR="004119AC">
        <w:rPr>
          <w:u w:val="single"/>
        </w:rPr>
        <w:t>Self-Identification of Writing I</w:t>
      </w:r>
      <w:r>
        <w:rPr>
          <w:u w:val="single"/>
        </w:rPr>
        <w:t>ssues</w:t>
      </w:r>
      <w:r w:rsidR="004119AC">
        <w:rPr>
          <w:u w:val="single"/>
        </w:rPr>
        <w:t>.</w:t>
      </w:r>
    </w:p>
    <w:p w14:paraId="54848656" w14:textId="2FC0E6C8" w:rsidR="00FB0499" w:rsidRDefault="005C25EC" w:rsidP="00691894">
      <w:r>
        <w:t xml:space="preserve">It is important that students come to see writing as a “contextual act” instead of a </w:t>
      </w:r>
      <w:r w:rsidR="00FB0499">
        <w:t>discrete task that is unrelated to either the content of a class or th</w:t>
      </w:r>
      <w:r>
        <w:t xml:space="preserve">eir future goals. Research shows that improving student understanding and practice of the writing process can help make the skills needed for research and writing transferrable to their future efforts, and that learning to self-identify their </w:t>
      </w:r>
      <w:r w:rsidR="007721EE">
        <w:t xml:space="preserve">writing issues can help them </w:t>
      </w:r>
      <w:r>
        <w:t>stop making chronic mistakes in their writing.</w:t>
      </w:r>
    </w:p>
    <w:p w14:paraId="1A95F618" w14:textId="77777777" w:rsidR="005C25EC" w:rsidRDefault="005C25EC" w:rsidP="00691894"/>
    <w:p w14:paraId="50921047" w14:textId="13BA9D40" w:rsidR="005C707F" w:rsidRDefault="005C25EC" w:rsidP="005C707F">
      <w:r>
        <w:t xml:space="preserve">Nelson and Hayes (1988) found that students </w:t>
      </w:r>
      <w:r w:rsidR="00C158DA">
        <w:t xml:space="preserve">who </w:t>
      </w:r>
      <w:r>
        <w:t>use a</w:t>
      </w:r>
      <w:r w:rsidR="00CD7CE6">
        <w:t xml:space="preserve"> “process log” </w:t>
      </w:r>
      <w:r>
        <w:t xml:space="preserve">become familiar and comfortable with the writing process quickly. In the process log, </w:t>
      </w:r>
      <w:r w:rsidR="00CD7CE6">
        <w:t xml:space="preserve">students </w:t>
      </w:r>
      <w:r w:rsidR="005C707F">
        <w:t xml:space="preserve">reflect on where they are within the writing process in relation to the assignment at hand, create a plan to accomplish specific tasks, and report what progress they have made towards completing their research and/or writing. These tasks can include </w:t>
      </w:r>
      <w:r w:rsidR="00CD7CE6">
        <w:t>searching for sources, using the library, taking note</w:t>
      </w:r>
      <w:r w:rsidR="005C707F">
        <w:t>s</w:t>
      </w:r>
      <w:r w:rsidR="00CD7CE6">
        <w:t>, selecting sources, organizing paper</w:t>
      </w:r>
      <w:r w:rsidR="00C158DA">
        <w:t>s</w:t>
      </w:r>
      <w:r w:rsidR="00CD7CE6">
        <w:t xml:space="preserve">, </w:t>
      </w:r>
      <w:r w:rsidR="005C707F">
        <w:t>outlining, writing, and/or formatting.</w:t>
      </w:r>
      <w:r w:rsidR="00CD7CE6">
        <w:t xml:space="preserve"> </w:t>
      </w:r>
      <w:r w:rsidR="005C707F">
        <w:t xml:space="preserve">In identifying the tasks and progress, students stay focused and on-task, and </w:t>
      </w:r>
      <w:r w:rsidR="00C158DA">
        <w:t xml:space="preserve">they </w:t>
      </w:r>
      <w:r w:rsidR="005C707F">
        <w:t>work toward a self</w:t>
      </w:r>
      <w:r w:rsidR="00C479A9">
        <w:t xml:space="preserve">-identified/constructed </w:t>
      </w:r>
      <w:r w:rsidR="005C707F">
        <w:t>writing process.</w:t>
      </w:r>
    </w:p>
    <w:p w14:paraId="79CAF9B9" w14:textId="77777777" w:rsidR="005C707F" w:rsidRDefault="005C707F" w:rsidP="005C707F"/>
    <w:p w14:paraId="14B53AA0" w14:textId="5CD3A5A2" w:rsidR="003F33C5" w:rsidRDefault="005C707F" w:rsidP="005C707F">
      <w:r>
        <w:t xml:space="preserve">Two studies found that the approach and strategies students take to writing papers varies depending on their understanding of the purpose of the assignment, which </w:t>
      </w:r>
      <w:r w:rsidR="00C479A9">
        <w:t>is</w:t>
      </w:r>
      <w:r>
        <w:t xml:space="preserve"> related to class standing (and</w:t>
      </w:r>
      <w:r w:rsidR="00C158DA">
        <w:t>,</w:t>
      </w:r>
      <w:r>
        <w:t xml:space="preserve"> therefore</w:t>
      </w:r>
      <w:r w:rsidR="00C158DA">
        <w:t>,</w:t>
      </w:r>
      <w:r>
        <w:t xml:space="preserve"> experience)</w:t>
      </w:r>
      <w:r w:rsidR="004E3CA2" w:rsidRPr="004E3CA2">
        <w:t xml:space="preserve"> </w:t>
      </w:r>
      <w:r w:rsidR="004E3CA2">
        <w:t>(Nelson and Hayes 1998; Fister</w:t>
      </w:r>
      <w:r w:rsidR="00C479A9">
        <w:t xml:space="preserve"> 1993</w:t>
      </w:r>
      <w:r w:rsidR="004E3CA2">
        <w:t>)</w:t>
      </w:r>
      <w:r>
        <w:t xml:space="preserve">. </w:t>
      </w:r>
      <w:r w:rsidR="00C158DA">
        <w:t>First-</w:t>
      </w:r>
      <w:r>
        <w:t>year students tended to be more “fact finding” or content-driven, while upper division students were more concerned with finding an issue or approach (“issue driven”) to guide their writing</w:t>
      </w:r>
      <w:r w:rsidR="004E3CA2">
        <w:t xml:space="preserve"> (Nelson and Hayes 1998)</w:t>
      </w:r>
      <w:r>
        <w:t xml:space="preserve">. </w:t>
      </w:r>
      <w:r w:rsidR="00C158DA">
        <w:t>First-</w:t>
      </w:r>
      <w:r>
        <w:t xml:space="preserve">year students tended to </w:t>
      </w:r>
      <w:r w:rsidR="004E3CA2">
        <w:t xml:space="preserve">struggle with </w:t>
      </w:r>
      <w:r>
        <w:t>research and writing, trying to write papers based upon the sources that they fo</w:t>
      </w:r>
      <w:r w:rsidR="004E3CA2">
        <w:t>und rather than having an idea to develop. Upper</w:t>
      </w:r>
      <w:r w:rsidR="003B6143">
        <w:t>-</w:t>
      </w:r>
      <w:r w:rsidR="004E3CA2">
        <w:t xml:space="preserve">division students had improved their research and writing skills, minimizing the time searching </w:t>
      </w:r>
      <w:r w:rsidR="004E3CA2">
        <w:lastRenderedPageBreak/>
        <w:t xml:space="preserve">for sources, improving analysis of the content and context of sources, and providing support for more independent ideas within their papers. </w:t>
      </w:r>
      <w:r>
        <w:t xml:space="preserve">Researchers found that over time, </w:t>
      </w:r>
      <w:r w:rsidR="004E3CA2">
        <w:t xml:space="preserve">as </w:t>
      </w:r>
      <w:r>
        <w:t xml:space="preserve">students </w:t>
      </w:r>
      <w:r w:rsidR="004E3CA2">
        <w:t>move</w:t>
      </w:r>
      <w:r w:rsidR="003D276C">
        <w:t>d</w:t>
      </w:r>
      <w:r w:rsidR="004E3CA2">
        <w:t xml:space="preserve"> on from a </w:t>
      </w:r>
      <w:r w:rsidR="00B8699A">
        <w:t xml:space="preserve">content-driven </w:t>
      </w:r>
      <w:r w:rsidR="004E3CA2">
        <w:t>approach to a more issue-driven approach, students were able to</w:t>
      </w:r>
      <w:r w:rsidR="00B8699A">
        <w:t xml:space="preserve"> design better papers</w:t>
      </w:r>
      <w:r w:rsidR="004E3CA2">
        <w:t xml:space="preserve">. They </w:t>
      </w:r>
      <w:r w:rsidR="003D276C">
        <w:t>cho</w:t>
      </w:r>
      <w:r w:rsidR="00B8699A">
        <w:t>se evidence for rhetorical purposes</w:t>
      </w:r>
      <w:r w:rsidR="003F33C5">
        <w:t>, producing</w:t>
      </w:r>
      <w:r w:rsidR="00B8699A">
        <w:t xml:space="preserve"> more specific supports for their ideas rather than structuring a paper around the evidence they </w:t>
      </w:r>
      <w:r w:rsidR="003F33C5">
        <w:t>already had, which often resulted in an unorganized or underdeveloped idea.</w:t>
      </w:r>
    </w:p>
    <w:p w14:paraId="4D63FD4F" w14:textId="0796D688" w:rsidR="00B8699A" w:rsidRDefault="003F33C5" w:rsidP="005C707F">
      <w:r>
        <w:t xml:space="preserve"> </w:t>
      </w:r>
      <w:r w:rsidR="00B8699A">
        <w:t xml:space="preserve"> </w:t>
      </w:r>
    </w:p>
    <w:p w14:paraId="790FDD0F" w14:textId="2B71B535" w:rsidR="003F33C5" w:rsidRDefault="003F33C5" w:rsidP="005C707F">
      <w:r>
        <w:t xml:space="preserve">The amount and type of instructor intervention in writing assignments can also make a huge difference in the amount of time and effort that students put into their research and writing. Writing is a gradual process that needs “developmental feedback” (Bharuthram and McKenna 2006), and when students perceive that they are not guided through the skills they need to learn, or get minimal feedback and intervention, they </w:t>
      </w:r>
      <w:r w:rsidR="00E765D1">
        <w:t xml:space="preserve">procrastinate or put little effort into their research and writing assignments (Nelson and Hayes 1998). These students often label their writing assignments as “boring” or “pointless” (Nelson and Hayes 1998). In contrast, students </w:t>
      </w:r>
      <w:r w:rsidR="003B6143">
        <w:t xml:space="preserve">who </w:t>
      </w:r>
      <w:r w:rsidR="00E765D1">
        <w:t xml:space="preserve">are provided intermediate feedback tend to start work early and focus on high-level goals for both their research and writing, and </w:t>
      </w:r>
      <w:r w:rsidR="003B6143">
        <w:t xml:space="preserve">they </w:t>
      </w:r>
      <w:r w:rsidR="00E765D1">
        <w:t>have improved organization and idea development.</w:t>
      </w:r>
    </w:p>
    <w:p w14:paraId="48A8867F" w14:textId="77777777" w:rsidR="003F33C5" w:rsidRDefault="003F33C5" w:rsidP="005C707F"/>
    <w:p w14:paraId="0FD111B7" w14:textId="188837CA" w:rsidR="00FB0499" w:rsidRDefault="00E765D1" w:rsidP="003F33C5">
      <w:r>
        <w:t>Feedback given to students is best utilized when tied to revisions or future assignments/efforts</w:t>
      </w:r>
      <w:r w:rsidR="003B6143">
        <w:t xml:space="preserve">; </w:t>
      </w:r>
      <w:r w:rsidR="003F26A1">
        <w:t>otherwise</w:t>
      </w:r>
      <w:r w:rsidR="003B6143">
        <w:t>,</w:t>
      </w:r>
      <w:r w:rsidR="003F26A1">
        <w:t xml:space="preserve"> </w:t>
      </w:r>
      <w:r w:rsidR="003B6143">
        <w:t>students</w:t>
      </w:r>
      <w:r w:rsidR="003F26A1">
        <w:t xml:space="preserve"> tend to ignore input</w:t>
      </w:r>
      <w:r w:rsidR="005F465A">
        <w:t xml:space="preserve"> and repeat mistakes. Teaching students to identify their patterns of writing errors can help them in drafting future papers and in revising current ones</w:t>
      </w:r>
      <w:r>
        <w:t xml:space="preserve">. </w:t>
      </w:r>
      <w:r w:rsidR="005F465A">
        <w:t xml:space="preserve">One professor at SJSU identifies patterns of errors in early papers, </w:t>
      </w:r>
      <w:r w:rsidR="003F26A1">
        <w:t xml:space="preserve">has students practice fixing their errors, and, later in the semester, </w:t>
      </w:r>
      <w:r w:rsidR="005F465A">
        <w:t xml:space="preserve">asks students </w:t>
      </w:r>
      <w:r w:rsidR="000E576A">
        <w:t xml:space="preserve">to </w:t>
      </w:r>
      <w:r w:rsidR="003F26A1">
        <w:t>list their common error patterns</w:t>
      </w:r>
      <w:r w:rsidR="005F465A">
        <w:t xml:space="preserve"> at the top </w:t>
      </w:r>
      <w:r w:rsidR="003F26A1">
        <w:t>of subsequent papers, and then identify and fix the errors themselves</w:t>
      </w:r>
      <w:r w:rsidR="005F465A">
        <w:t xml:space="preserve"> </w:t>
      </w:r>
      <w:r w:rsidR="00FB0499">
        <w:t>(</w:t>
      </w:r>
      <w:r w:rsidR="003F26A1">
        <w:t>Cook 2017</w:t>
      </w:r>
      <w:r w:rsidR="00FB0499">
        <w:t>)</w:t>
      </w:r>
      <w:r w:rsidR="003F26A1">
        <w:t>. Students learn the grammar theory, then identification, and finally practice that helps to make lasting changes in their writing.</w:t>
      </w:r>
    </w:p>
    <w:p w14:paraId="17B3FECC" w14:textId="77777777" w:rsidR="005F465A" w:rsidRDefault="005F465A" w:rsidP="003F33C5"/>
    <w:p w14:paraId="1FC22B58" w14:textId="77777777" w:rsidR="00FC6F07" w:rsidRDefault="00FC6F07" w:rsidP="00FC6F07">
      <w:r w:rsidRPr="008E7BE1">
        <w:rPr>
          <w:u w:val="single"/>
        </w:rPr>
        <w:t>Grammar support software</w:t>
      </w:r>
      <w:r>
        <w:t xml:space="preserve">. MacMillan’s </w:t>
      </w:r>
      <w:r w:rsidRPr="00A65973">
        <w:rPr>
          <w:i/>
        </w:rPr>
        <w:t>Writer’s Help</w:t>
      </w:r>
      <w:r>
        <w:t xml:space="preserve"> is an online resource, reference, diagnostic, and practice program for students. At San Jos</w:t>
      </w:r>
      <w:r>
        <w:rPr>
          <w:rFonts w:ascii="Calibri" w:hAnsi="Calibri"/>
        </w:rPr>
        <w:t>é</w:t>
      </w:r>
      <w:r>
        <w:t xml:space="preserve"> State University, </w:t>
      </w:r>
      <w:r w:rsidRPr="00BA2BE0">
        <w:rPr>
          <w:i/>
        </w:rPr>
        <w:t>Writer’s Help</w:t>
      </w:r>
      <w:r>
        <w:t xml:space="preserve"> has been integrated into Canvas, the campus-wide learning platform, where it can be used independently or can be directly linked to STEM writing classes. This program offers diagnostic quizzes and adaptive tutorials on a number of topics, including grammar and comprehension. In theory, the diagnostics can help faculty identify common deficiencies amongst each unique set of students in their classes, which can then be integrated into class curriculum. It can also help individual students identify deficiencies and/or areas of grammar that need additional work, practice, and attention. A series of short tutorials (called “LearningCurve” in </w:t>
      </w:r>
      <w:r w:rsidRPr="00A65973">
        <w:rPr>
          <w:i/>
        </w:rPr>
        <w:t>Writer’s Help</w:t>
      </w:r>
      <w:r>
        <w:t xml:space="preserve">) in those areas can be assigned to students, resulting in links to relevant grammar lessons and focused practice to remedy their mistakes. </w:t>
      </w:r>
    </w:p>
    <w:p w14:paraId="77059360" w14:textId="77777777" w:rsidR="00FC6F07" w:rsidRDefault="00FC6F07" w:rsidP="00FC6F07"/>
    <w:p w14:paraId="393184D8" w14:textId="73A4A0D1" w:rsidR="00CD7CE6" w:rsidRDefault="00FC6F07" w:rsidP="00691894">
      <w:r>
        <w:t xml:space="preserve">For all of the potential of this program to help students and provide individualized help, it can be difficult to use for both students and faculty. Feedback from SJSU students and faculty that have used the program has been favorable, but unfortunately, both students and faculty commonly experience problems accessing and using this program, especially when embedded </w:t>
      </w:r>
      <w:r>
        <w:lastRenderedPageBreak/>
        <w:t xml:space="preserve">in 100W courses. In addition, the program can be difficult to set up and use without frequent support from MacMillan. </w:t>
      </w:r>
    </w:p>
    <w:p w14:paraId="10CB3705" w14:textId="77777777" w:rsidR="00A65973" w:rsidRPr="00CD7CE6" w:rsidRDefault="00A65973" w:rsidP="00691894"/>
    <w:p w14:paraId="0EA88588" w14:textId="16844A3D" w:rsidR="00CD7CE6" w:rsidRDefault="00CD7CE6" w:rsidP="00317F13">
      <w:r>
        <w:rPr>
          <w:u w:val="single"/>
        </w:rPr>
        <w:t>Integrating content and writing</w:t>
      </w:r>
      <w:r w:rsidR="004621E8">
        <w:rPr>
          <w:u w:val="single"/>
        </w:rPr>
        <w:t>.</w:t>
      </w:r>
      <w:r w:rsidR="004621E8">
        <w:t xml:space="preserve"> </w:t>
      </w:r>
      <w:r w:rsidR="00317F13">
        <w:t>Many researchers have found benefit in e</w:t>
      </w:r>
      <w:r>
        <w:t xml:space="preserve">mbedding </w:t>
      </w:r>
      <w:r w:rsidR="00317F13">
        <w:t xml:space="preserve">writing </w:t>
      </w:r>
      <w:r>
        <w:t>assignments</w:t>
      </w:r>
      <w:r w:rsidR="00317F13">
        <w:t xml:space="preserve"> in STEM content courses rather than teaching writing as a separate class or module within a class </w:t>
      </w:r>
      <w:r>
        <w:t>(Wingate, Andon, and Cogo 2</w:t>
      </w:r>
      <w:r w:rsidR="001B75FB">
        <w:t>011;</w:t>
      </w:r>
      <w:r w:rsidR="00317F13">
        <w:t xml:space="preserve"> Monroe 2003; Conrad, et al.</w:t>
      </w:r>
      <w:r>
        <w:t xml:space="preserve"> 2015).</w:t>
      </w:r>
      <w:r w:rsidR="00317F13">
        <w:t xml:space="preserve"> This decreases the amount of classes that students are required to take and </w:t>
      </w:r>
      <w:r w:rsidR="001B75FB">
        <w:t xml:space="preserve">helps students </w:t>
      </w:r>
      <w:r w:rsidR="00317F13">
        <w:t xml:space="preserve">recognize the benefit of </w:t>
      </w:r>
      <w:r w:rsidR="00913B16">
        <w:t xml:space="preserve">clear and concise writing to convey their understanding of course </w:t>
      </w:r>
      <w:r w:rsidR="001B75FB">
        <w:t>content. When combined with reading and practicing genre-specific format, embedded writing assignments can teach or provide students with practice in writ</w:t>
      </w:r>
      <w:r w:rsidR="00C479A9">
        <w:t>ing professional-type documents.</w:t>
      </w:r>
    </w:p>
    <w:p w14:paraId="431DBF88" w14:textId="77777777" w:rsidR="00CD7CE6" w:rsidRPr="00CD7CE6" w:rsidRDefault="00CD7CE6" w:rsidP="00691894"/>
    <w:p w14:paraId="5F45DDCA" w14:textId="348F54E5" w:rsidR="00CD7CE6" w:rsidRDefault="00CD7CE6" w:rsidP="00691894">
      <w:pPr>
        <w:rPr>
          <w:u w:val="single"/>
        </w:rPr>
      </w:pPr>
      <w:r>
        <w:rPr>
          <w:u w:val="single"/>
        </w:rPr>
        <w:t>Clarifying assignment directives and outcomes</w:t>
      </w:r>
    </w:p>
    <w:p w14:paraId="58712DE7" w14:textId="15877216" w:rsidR="00CD7CE6" w:rsidRDefault="001B75FB" w:rsidP="001B75FB">
      <w:r>
        <w:t xml:space="preserve">Students perform better when they clearly understand </w:t>
      </w:r>
      <w:r w:rsidR="00CD7CE6">
        <w:t>the purpose, steps, and outcomes of research and writing</w:t>
      </w:r>
      <w:r w:rsidR="00C479A9">
        <w:t xml:space="preserve"> (Conrad, et al. 2015</w:t>
      </w:r>
      <w:r>
        <w:t xml:space="preserve">). </w:t>
      </w:r>
      <w:r w:rsidR="00832FE3">
        <w:t>Writing instruction that d</w:t>
      </w:r>
      <w:r w:rsidR="00CD7CE6">
        <w:t>irectly address</w:t>
      </w:r>
      <w:r w:rsidR="00832FE3">
        <w:t>es</w:t>
      </w:r>
      <w:r w:rsidR="00CD7CE6">
        <w:t xml:space="preserve"> common student misconceptions about writing</w:t>
      </w:r>
      <w:r w:rsidR="00832FE3">
        <w:t xml:space="preserve"> can help focus student efforts to complete research and writing assignments</w:t>
      </w:r>
      <w:r w:rsidR="00CD7CE6">
        <w:t xml:space="preserve"> (Conrad, et al. 2015)</w:t>
      </w:r>
      <w:r w:rsidR="00832FE3">
        <w:t xml:space="preserve">. It is especially helpful for students to be taught about the writing process in addition to scaffolding assignments to help them through the writing process; research and writing are not linear, and </w:t>
      </w:r>
      <w:r w:rsidR="00094F61">
        <w:t xml:space="preserve">they require </w:t>
      </w:r>
      <w:r w:rsidR="00832FE3">
        <w:t>completing several tasks simultaneously or revisiting tasks (especially research) as ideas and organization develop (Fister</w:t>
      </w:r>
      <w:r w:rsidR="00C479A9">
        <w:t xml:space="preserve"> 1993</w:t>
      </w:r>
      <w:r w:rsidR="00832FE3">
        <w:t xml:space="preserve">). Students </w:t>
      </w:r>
      <w:r w:rsidR="00094F61">
        <w:t xml:space="preserve">who </w:t>
      </w:r>
      <w:r w:rsidR="00832FE3">
        <w:t xml:space="preserve">understand the writing process will better understand the relationships between individual assignments and are more likely to be able to replicate the writing process in future classes. They are also more likely to better understand and </w:t>
      </w:r>
      <w:r w:rsidR="00031F68">
        <w:t>learn</w:t>
      </w:r>
      <w:r w:rsidR="00832FE3">
        <w:t xml:space="preserve"> professional </w:t>
      </w:r>
      <w:r w:rsidR="00031F68">
        <w:t>writing structure and techniques when explained in a similar context.</w:t>
      </w:r>
    </w:p>
    <w:p w14:paraId="67499BEC" w14:textId="77777777" w:rsidR="00CD7CE6" w:rsidRPr="00CD7CE6" w:rsidRDefault="00CD7CE6" w:rsidP="00691894"/>
    <w:p w14:paraId="24ED096D" w14:textId="51D84860" w:rsidR="00CD7CE6" w:rsidRPr="00702D53" w:rsidRDefault="00CD7CE6" w:rsidP="00691894">
      <w:pPr>
        <w:rPr>
          <w:u w:val="single"/>
        </w:rPr>
      </w:pPr>
      <w:r>
        <w:rPr>
          <w:u w:val="single"/>
        </w:rPr>
        <w:t xml:space="preserve">Genre-specific </w:t>
      </w:r>
      <w:r w:rsidR="00031F68">
        <w:rPr>
          <w:u w:val="single"/>
        </w:rPr>
        <w:t xml:space="preserve">instruction and </w:t>
      </w:r>
      <w:r>
        <w:rPr>
          <w:u w:val="single"/>
        </w:rPr>
        <w:t>experience</w:t>
      </w:r>
      <w:r w:rsidR="00031F68">
        <w:rPr>
          <w:u w:val="single"/>
        </w:rPr>
        <w:t>s</w:t>
      </w:r>
    </w:p>
    <w:p w14:paraId="6337505D" w14:textId="48393C9A" w:rsidR="00031F68" w:rsidRDefault="00031F68" w:rsidP="00031F68">
      <w:r>
        <w:t xml:space="preserve">Differences between writing by STEM students and experienced practitioners are minimized as students gain knowledge and experience in writing genre-specific documents. Class materials should teach students about expectations for workplace genres, </w:t>
      </w:r>
      <w:r w:rsidR="009B49E3">
        <w:t xml:space="preserve">as well as </w:t>
      </w:r>
      <w:r>
        <w:t xml:space="preserve">techniques for choosing effective words, </w:t>
      </w:r>
      <w:r w:rsidR="009B49E3">
        <w:t xml:space="preserve">using proper </w:t>
      </w:r>
      <w:r>
        <w:t xml:space="preserve">grammar, </w:t>
      </w:r>
      <w:r w:rsidR="009B49E3">
        <w:t xml:space="preserve">organizing </w:t>
      </w:r>
      <w:r w:rsidR="004621E8">
        <w:t>a document</w:t>
      </w:r>
      <w:r>
        <w:t>, and identify</w:t>
      </w:r>
      <w:r w:rsidR="009B49E3">
        <w:t xml:space="preserve">ing </w:t>
      </w:r>
      <w:r>
        <w:t xml:space="preserve">conventions of particular genres (Conrad, et al. 2015; Moskovitz 2011). </w:t>
      </w:r>
    </w:p>
    <w:p w14:paraId="6D03BC08" w14:textId="77777777" w:rsidR="00BE5DB7" w:rsidRDefault="00BE5DB7" w:rsidP="00031F68"/>
    <w:p w14:paraId="505E91DC" w14:textId="655C52B3" w:rsidR="007C6BEE" w:rsidRDefault="00BE5DB7" w:rsidP="00BD54A5">
      <w:r>
        <w:t xml:space="preserve">Students </w:t>
      </w:r>
      <w:r w:rsidR="00CC44BD">
        <w:t xml:space="preserve">who </w:t>
      </w:r>
      <w:r>
        <w:t xml:space="preserve">are led through detailed reading of </w:t>
      </w:r>
      <w:r w:rsidR="007C6BEE">
        <w:t xml:space="preserve">practitioner writing </w:t>
      </w:r>
      <w:r>
        <w:t xml:space="preserve">become acquainted with </w:t>
      </w:r>
      <w:r w:rsidR="007C6BEE">
        <w:t xml:space="preserve">genre-specific </w:t>
      </w:r>
      <w:r>
        <w:t xml:space="preserve">style, </w:t>
      </w:r>
      <w:r w:rsidR="00BD54A5">
        <w:t>organization, grammar, word choices, and punctuation (as well as number of mistakes)</w:t>
      </w:r>
      <w:r w:rsidR="00BD54A5" w:rsidRPr="00BD54A5">
        <w:t xml:space="preserve"> </w:t>
      </w:r>
      <w:r w:rsidR="00BD54A5">
        <w:t>(Conrad, et al. 2015)</w:t>
      </w:r>
      <w:r>
        <w:t xml:space="preserve">. </w:t>
      </w:r>
      <w:r w:rsidR="007C6BEE">
        <w:t xml:space="preserve">The benefits of the readings are enhanced if instructors help students </w:t>
      </w:r>
      <w:r>
        <w:t xml:space="preserve">make explicit </w:t>
      </w:r>
      <w:r w:rsidR="00BD54A5">
        <w:t xml:space="preserve">and empirical </w:t>
      </w:r>
      <w:r>
        <w:t>comparisons between student version</w:t>
      </w:r>
      <w:r w:rsidR="00BD54A5">
        <w:t>s</w:t>
      </w:r>
      <w:r>
        <w:t xml:space="preserve"> of the genre and practitioners’ use of </w:t>
      </w:r>
      <w:r w:rsidR="007C6BEE">
        <w:t>the genre (Conrad, et al. 2015; Wingate, Andon, and Cogo 2011).</w:t>
      </w:r>
      <w:r w:rsidR="003B73E2" w:rsidRPr="003B73E2">
        <w:t xml:space="preserve"> </w:t>
      </w:r>
      <w:r w:rsidR="00BD54A5">
        <w:t xml:space="preserve">In this way, </w:t>
      </w:r>
      <w:r w:rsidR="003B73E2">
        <w:t xml:space="preserve">academic writing </w:t>
      </w:r>
      <w:r w:rsidR="00BD54A5">
        <w:t>can teach</w:t>
      </w:r>
      <w:r w:rsidR="003B73E2">
        <w:t xml:space="preserve"> “real” use of language and organization</w:t>
      </w:r>
      <w:r w:rsidR="00BD54A5">
        <w:t xml:space="preserve">, mimic professional documents, and lead students closer towards </w:t>
      </w:r>
      <w:r w:rsidR="00C479A9">
        <w:t xml:space="preserve">disciplinary literacy, </w:t>
      </w:r>
      <w:r w:rsidR="007C6BEE">
        <w:t xml:space="preserve">the concept of thinking like a practitioner in the field of choice, to support core content ideas, thinking, and effective communication (Ruzycki 2015). </w:t>
      </w:r>
    </w:p>
    <w:p w14:paraId="2600E0FC" w14:textId="77777777" w:rsidR="00BD54A5" w:rsidRDefault="00BD54A5" w:rsidP="00BD54A5"/>
    <w:p w14:paraId="3780E615" w14:textId="5E8261FC" w:rsidR="0004445F" w:rsidRDefault="0004445F" w:rsidP="0004445F">
      <w:r>
        <w:t xml:space="preserve">Instructors can also provide students with a functional perspective on language in terms of the words, grammar, and organization used in STEM writing. For instance, language can be </w:t>
      </w:r>
      <w:r>
        <w:lastRenderedPageBreak/>
        <w:t>analyzed and taught for its impact on meaning and communication in addition to style (Conrad, et al. 2015).</w:t>
      </w:r>
      <w:r w:rsidRPr="00571320">
        <w:t xml:space="preserve"> </w:t>
      </w:r>
      <w:r>
        <w:t>Ancillary materials such as handouts, wiki</w:t>
      </w:r>
      <w:r w:rsidR="00E709E9">
        <w:t>s</w:t>
      </w:r>
      <w:r>
        <w:t>, etc. are also helpful resources that can provide writing instruction and/or hints to students in addition to lectures and assignments (Conrad, et al. 2015; Stewart, et al. 2015). Language that is genre-specific should be included in writing and content lessons, a</w:t>
      </w:r>
      <w:r w:rsidR="00507C10">
        <w:t>s well as</w:t>
      </w:r>
      <w:r>
        <w:t xml:space="preserve"> ancillary materials</w:t>
      </w:r>
      <w:r w:rsidR="00507C10">
        <w:t>. Advanced genre-specific language assignments should ask s</w:t>
      </w:r>
      <w:r>
        <w:t xml:space="preserve">tudents </w:t>
      </w:r>
      <w:r w:rsidR="00507C10">
        <w:t>to revise</w:t>
      </w:r>
      <w:r>
        <w:t xml:space="preserve"> examples of “bad” writing that</w:t>
      </w:r>
      <w:r w:rsidR="00507C10">
        <w:t xml:space="preserve"> they can later compare</w:t>
      </w:r>
      <w:r>
        <w:t xml:space="preserve"> to “good” examples (Stewart, et al. 2015; Conrad, et al. 2015).</w:t>
      </w:r>
      <w:r w:rsidR="00507C10">
        <w:t xml:space="preserve"> These efforts allow direct comparison of student to practitioner writing, closing the gap between the two.</w:t>
      </w:r>
    </w:p>
    <w:p w14:paraId="25A31F19" w14:textId="77777777" w:rsidR="0004445F" w:rsidRDefault="0004445F" w:rsidP="00BD54A5"/>
    <w:p w14:paraId="041EF9D2" w14:textId="3646D1A2" w:rsidR="00702D53" w:rsidRDefault="00BD54A5" w:rsidP="00BD54A5">
      <w:r>
        <w:t xml:space="preserve">Experiential learning </w:t>
      </w:r>
      <w:r w:rsidR="00A07F98">
        <w:t>support</w:t>
      </w:r>
      <w:r>
        <w:t>s d</w:t>
      </w:r>
      <w:r w:rsidR="007C6BEE">
        <w:t xml:space="preserve">isciplinary literacy </w:t>
      </w:r>
      <w:r>
        <w:t xml:space="preserve">as students are taught </w:t>
      </w:r>
      <w:r w:rsidR="007C6BEE">
        <w:t>with</w:t>
      </w:r>
      <w:r>
        <w:t xml:space="preserve"> the</w:t>
      </w:r>
      <w:r w:rsidR="007C6BEE">
        <w:t xml:space="preserve"> </w:t>
      </w:r>
      <w:r>
        <w:t xml:space="preserve">goal of </w:t>
      </w:r>
      <w:r w:rsidR="00A07F98">
        <w:t>providing</w:t>
      </w:r>
      <w:r>
        <w:t xml:space="preserve"> students </w:t>
      </w:r>
      <w:r w:rsidR="00A07F98">
        <w:t>with</w:t>
      </w:r>
      <w:r>
        <w:t xml:space="preserve"> professional </w:t>
      </w:r>
      <w:r w:rsidR="00A07F98">
        <w:t>opportunities</w:t>
      </w:r>
      <w:r w:rsidR="007C6BEE">
        <w:t xml:space="preserve">. </w:t>
      </w:r>
      <w:r w:rsidR="00A07F98">
        <w:t xml:space="preserve">In genre-specific STEM writing, students </w:t>
      </w:r>
      <w:r w:rsidR="009F15A8">
        <w:t xml:space="preserve">can learn to </w:t>
      </w:r>
      <w:r w:rsidR="00A07F98">
        <w:t>use language</w:t>
      </w:r>
      <w:r w:rsidR="00B129D3">
        <w:t xml:space="preserve"> (vocabulary)</w:t>
      </w:r>
      <w:r w:rsidR="00A07F98">
        <w:t xml:space="preserve"> to </w:t>
      </w:r>
      <w:r w:rsidR="003D6AD9">
        <w:t>m</w:t>
      </w:r>
      <w:r w:rsidR="007C6BEE">
        <w:t xml:space="preserve">ake explicit connections between the definition of the concept and the application and </w:t>
      </w:r>
      <w:r w:rsidR="00B129D3">
        <w:t xml:space="preserve">improvements in the </w:t>
      </w:r>
      <w:r w:rsidR="007C6BEE">
        <w:t xml:space="preserve">practice of the concept (Ruzycki 2015). </w:t>
      </w:r>
      <w:r w:rsidR="00B129D3">
        <w:t>For example, conducting research and writing with the goal of presenting or creating a poster gives</w:t>
      </w:r>
      <w:r w:rsidR="00702D53">
        <w:t xml:space="preserve"> students </w:t>
      </w:r>
      <w:r w:rsidR="00B129D3">
        <w:t xml:space="preserve">the chance </w:t>
      </w:r>
      <w:r w:rsidR="00702D53">
        <w:t xml:space="preserve">to </w:t>
      </w:r>
      <w:r w:rsidR="00395A11">
        <w:t>practice professional writing and presentation skills exhibited by practitioners</w:t>
      </w:r>
      <w:r w:rsidR="0004445F">
        <w:t>, giving purpose and an application for their efforts</w:t>
      </w:r>
      <w:r w:rsidR="00395A11">
        <w:t xml:space="preserve"> </w:t>
      </w:r>
      <w:r w:rsidR="00702D53">
        <w:t>(Chapman 2003).</w:t>
      </w:r>
      <w:r w:rsidR="00507C10">
        <w:t xml:space="preserve"> Practical experiences are more akin to writing and projects that they will later produce as practitioners for clients and colleagues.</w:t>
      </w:r>
    </w:p>
    <w:p w14:paraId="0AC3F765" w14:textId="77777777" w:rsidR="00BD54A5" w:rsidRDefault="00BD54A5" w:rsidP="00BD54A5">
      <w:pPr>
        <w:pStyle w:val="ListParagraph"/>
      </w:pPr>
    </w:p>
    <w:p w14:paraId="25FF9AC1" w14:textId="3519414B" w:rsidR="00395A11" w:rsidRDefault="00F135C9" w:rsidP="00A65973">
      <w:r>
        <w:t xml:space="preserve">Also along the lines of genre-specific instruction is the </w:t>
      </w:r>
      <w:r w:rsidR="00F036A8">
        <w:t>use of an alternative audience for a research paper other than the instructor to provide a different, and, hopefully professional, perspective and feedback</w:t>
      </w:r>
      <w:r w:rsidR="00395A11">
        <w:t xml:space="preserve"> (Nelson and Hayes 1988</w:t>
      </w:r>
      <w:r w:rsidR="00C479A9">
        <w:t>; Ruzycki 2015</w:t>
      </w:r>
      <w:r w:rsidR="00395A11">
        <w:t xml:space="preserve">). Students </w:t>
      </w:r>
      <w:r w:rsidR="00F036A8">
        <w:t xml:space="preserve">often </w:t>
      </w:r>
      <w:r w:rsidR="00395A11">
        <w:t xml:space="preserve">see </w:t>
      </w:r>
      <w:r w:rsidR="00F036A8">
        <w:t>their instructor</w:t>
      </w:r>
      <w:r w:rsidR="00395A11">
        <w:t xml:space="preserve"> as </w:t>
      </w:r>
      <w:r w:rsidR="00F036A8">
        <w:t xml:space="preserve">an </w:t>
      </w:r>
      <w:r w:rsidR="00395A11">
        <w:t xml:space="preserve">examiner or finder of errors in form or content, so </w:t>
      </w:r>
      <w:r w:rsidR="00F036A8">
        <w:t xml:space="preserve">writing for anyone else, especially </w:t>
      </w:r>
      <w:r w:rsidR="00395A11">
        <w:t>a professional or ot</w:t>
      </w:r>
      <w:r w:rsidR="00F036A8">
        <w:t>her audience, may improve student performance (Nelson and Hayes 1988). In addition, practitioners can provide feedback on organization, language, grammar, and other genre-specific aspects of student writing, steering them toward a more professional outcome.</w:t>
      </w:r>
      <w:r w:rsidR="00BB0BD6" w:rsidRPr="00BB0BD6">
        <w:rPr>
          <w:highlight w:val="yellow"/>
        </w:rPr>
        <w:t xml:space="preserve"> </w:t>
      </w:r>
    </w:p>
    <w:p w14:paraId="55C2B9E0" w14:textId="77777777" w:rsidR="00702D53" w:rsidRPr="00702D53" w:rsidRDefault="00702D53" w:rsidP="00691894"/>
    <w:p w14:paraId="5021797C" w14:textId="07F8083A" w:rsidR="00702D53" w:rsidRDefault="00702D53" w:rsidP="00691894">
      <w:pPr>
        <w:rPr>
          <w:b/>
        </w:rPr>
      </w:pPr>
      <w:r w:rsidRPr="00E06645">
        <w:rPr>
          <w:b/>
        </w:rPr>
        <w:t>Assessment strategies</w:t>
      </w:r>
    </w:p>
    <w:p w14:paraId="5E1EDBE0" w14:textId="42B6B825" w:rsidR="00F036A8" w:rsidRPr="00F036A8" w:rsidRDefault="00D87FF8" w:rsidP="00691894">
      <w:r>
        <w:t xml:space="preserve">Assessing the efficacy of </w:t>
      </w:r>
      <w:r w:rsidR="00F036A8">
        <w:t xml:space="preserve">new techniques </w:t>
      </w:r>
      <w:r w:rsidR="00A96533">
        <w:t>for</w:t>
      </w:r>
      <w:r w:rsidR="00F036A8">
        <w:t xml:space="preserve"> </w:t>
      </w:r>
      <w:r w:rsidR="00A96533">
        <w:t xml:space="preserve">improving writing skills of </w:t>
      </w:r>
      <w:r w:rsidR="00F036A8">
        <w:t xml:space="preserve">STEM students will identify </w:t>
      </w:r>
      <w:r w:rsidR="00A96533">
        <w:t>those</w:t>
      </w:r>
      <w:r w:rsidR="00F036A8">
        <w:t xml:space="preserve"> that are working, and to what extent, as well as those that may need refining. </w:t>
      </w:r>
    </w:p>
    <w:p w14:paraId="4C2F3A8F" w14:textId="1EC7888E" w:rsidR="00C721F5" w:rsidRDefault="00F036A8" w:rsidP="00F036A8">
      <w:r>
        <w:t xml:space="preserve">Strategies to measure </w:t>
      </w:r>
      <w:r w:rsidR="00A96533">
        <w:t xml:space="preserve">student </w:t>
      </w:r>
      <w:r>
        <w:t xml:space="preserve">progress </w:t>
      </w:r>
      <w:r w:rsidR="000B46D8">
        <w:t xml:space="preserve">are best </w:t>
      </w:r>
      <w:r w:rsidR="00A96533">
        <w:t>accomplished with an</w:t>
      </w:r>
      <w:r w:rsidR="000B46D8">
        <w:t xml:space="preserve"> assignment </w:t>
      </w:r>
      <w:r w:rsidR="00A96533">
        <w:t xml:space="preserve">at the beginning of the semester </w:t>
      </w:r>
      <w:r w:rsidR="000B46D8">
        <w:t xml:space="preserve">to generate a </w:t>
      </w:r>
      <w:r w:rsidR="00C721F5">
        <w:t>baseline sample of writing at the beginning of class to assess strengths and deficits of the class</w:t>
      </w:r>
      <w:r w:rsidR="000B46D8">
        <w:t xml:space="preserve">. Curriculum can be tailored to the results of the baseline, addressing common mistakes in writing and grammar, and can be taught in </w:t>
      </w:r>
      <w:r w:rsidR="00C721F5">
        <w:t>short (15-minute) lessons throughout the semester (Fallahi, Wood, and Austad 2006).</w:t>
      </w:r>
      <w:r w:rsidR="00A96533">
        <w:t xml:space="preserve"> A writing sample or assignment completed at the end of the semester can be used for comparison to the baseline sample, with parameters related to lessons taught throughout the semester.</w:t>
      </w:r>
    </w:p>
    <w:p w14:paraId="4A49BD37" w14:textId="77777777" w:rsidR="00A96533" w:rsidRDefault="00A96533" w:rsidP="00F036A8"/>
    <w:p w14:paraId="00811BF5" w14:textId="6C60056B" w:rsidR="00702D53" w:rsidRDefault="00662DFE" w:rsidP="00A96533">
      <w:r>
        <w:t>Additionally, strong, clear rubrics can be used to assess student accomplishment in writing and/or content, for</w:t>
      </w:r>
      <w:r w:rsidR="00F40B16">
        <w:t xml:space="preserve"> individual assignments</w:t>
      </w:r>
      <w:r>
        <w:t xml:space="preserve"> or over several drafts of an assignment </w:t>
      </w:r>
      <w:r w:rsidR="00702D53">
        <w:t>(Stewart, et al. 2015; Patterson and Slinger-Friedman 2012</w:t>
      </w:r>
      <w:r w:rsidR="00A96533" w:rsidRPr="00A96533">
        <w:t xml:space="preserve"> </w:t>
      </w:r>
      <w:r w:rsidR="00A96533">
        <w:t>Fallah</w:t>
      </w:r>
      <w:r w:rsidR="00742B66">
        <w:t>i, Wood, and Austad 2006). Clearly</w:t>
      </w:r>
      <w:r w:rsidR="00E709E9">
        <w:t xml:space="preserve"> </w:t>
      </w:r>
      <w:r w:rsidR="00742B66">
        <w:t xml:space="preserve">written rubrics </w:t>
      </w:r>
      <w:r w:rsidR="00A96533">
        <w:t>provide clarification of the assignment’s objectives and expectations</w:t>
      </w:r>
      <w:r w:rsidR="00742B66">
        <w:t xml:space="preserve"> for students, thereby improving the consistency and quality of the assignments that are submitted. Rubrics</w:t>
      </w:r>
      <w:r w:rsidR="00A96533">
        <w:t xml:space="preserve"> </w:t>
      </w:r>
      <w:r w:rsidR="00742B66">
        <w:lastRenderedPageBreak/>
        <w:t xml:space="preserve">also </w:t>
      </w:r>
      <w:r w:rsidR="00A96533">
        <w:t xml:space="preserve">provide </w:t>
      </w:r>
      <w:r w:rsidR="00742B66">
        <w:t xml:space="preserve">feedback on specific writing skills for individual assignments, as well as functioning as </w:t>
      </w:r>
      <w:r w:rsidR="00A96533">
        <w:t>a means to measure</w:t>
      </w:r>
      <w:r w:rsidR="00742B66">
        <w:t xml:space="preserve"> student progress </w:t>
      </w:r>
      <w:r w:rsidR="00A96533">
        <w:t xml:space="preserve">over </w:t>
      </w:r>
      <w:r w:rsidR="00742B66">
        <w:t>several drafts of one assignment, or several assignments</w:t>
      </w:r>
      <w:r w:rsidR="00A96533">
        <w:t xml:space="preserve">. </w:t>
      </w:r>
      <w:r w:rsidR="00742B66">
        <w:t>Rubrics work best when they detail specific expectations of aspects of a writing assignment that will be evaluated, along with clear weighting of each aspect in respect to a student’s score. They should be provided to students with the writing prompt and used for any peer reviews and subsequent drafts, when applicable.</w:t>
      </w:r>
    </w:p>
    <w:p w14:paraId="4B9EF04C" w14:textId="77777777" w:rsidR="00742B66" w:rsidRDefault="00742B66" w:rsidP="00A96533"/>
    <w:p w14:paraId="007E7248" w14:textId="05E6C275" w:rsidR="0075762A" w:rsidRDefault="00742B66" w:rsidP="003055BE">
      <w:r>
        <w:t>Revision opportunities he</w:t>
      </w:r>
      <w:r w:rsidR="003055BE">
        <w:t>lp students to address comments, identify patterns of mistakes and deficits, and practice writing skills</w:t>
      </w:r>
      <w:r w:rsidR="000B1FE0">
        <w:t xml:space="preserve"> (Nelson and Hayes 1988</w:t>
      </w:r>
      <w:r w:rsidR="003055BE">
        <w:t>; Cook 2017</w:t>
      </w:r>
      <w:r w:rsidR="000B1FE0">
        <w:t>)</w:t>
      </w:r>
      <w:r w:rsidR="003055BE">
        <w:t>. Since many students do not read comments on papers, requiring revisions forces them to work through their shortcomings</w:t>
      </w:r>
      <w:r w:rsidR="006F5D57">
        <w:t xml:space="preserve"> on a single document</w:t>
      </w:r>
      <w:r w:rsidR="003055BE">
        <w:t>, hopefully developing new skills and habits. Nelson and Hayes (1988) felt that this approach works especially well when substantial comments are provided on a low-stakes assignment (an early first draft or outline) with a chance to identify problems and improve their report</w:t>
      </w:r>
      <w:r w:rsidR="00A5496C">
        <w:t xml:space="preserve">s before being graded. </w:t>
      </w:r>
      <w:r w:rsidR="006F5D57">
        <w:t xml:space="preserve">Writing a paper in a series of drafts can also be used to teach students that research and writing are concomitant activities and </w:t>
      </w:r>
      <w:r w:rsidR="00A5496C">
        <w:t xml:space="preserve">that problems can be circumvented in early drafts </w:t>
      </w:r>
      <w:r w:rsidR="00C479A9">
        <w:t>(Fister 1993</w:t>
      </w:r>
      <w:r w:rsidR="006F5D57">
        <w:t xml:space="preserve">; </w:t>
      </w:r>
      <w:r w:rsidR="0075762A">
        <w:t>Nelson and Hayes 1988</w:t>
      </w:r>
      <w:r w:rsidR="00AD3FE2">
        <w:t>; Stewart, et al. 2015</w:t>
      </w:r>
      <w:r w:rsidR="0075762A">
        <w:t>)</w:t>
      </w:r>
      <w:r w:rsidR="006F5D57">
        <w:t>.</w:t>
      </w:r>
    </w:p>
    <w:p w14:paraId="435E4D90" w14:textId="77777777" w:rsidR="006F5D57" w:rsidRDefault="006F5D57" w:rsidP="003055BE"/>
    <w:p w14:paraId="442EF746" w14:textId="2427458B" w:rsidR="00B81596" w:rsidRDefault="00B81596" w:rsidP="006F5D57">
      <w:r>
        <w:t>Peer review</w:t>
      </w:r>
      <w:r w:rsidR="004A5B40">
        <w:t xml:space="preserve"> can be an invaluable and transferrable skill for students. It can help them develop a critical eye, </w:t>
      </w:r>
      <w:r w:rsidR="006E7482">
        <w:t>expose them to different student approaches</w:t>
      </w:r>
      <w:r w:rsidR="004A5B40">
        <w:t xml:space="preserve"> </w:t>
      </w:r>
      <w:r w:rsidR="006E7482">
        <w:t xml:space="preserve">to </w:t>
      </w:r>
      <w:r w:rsidR="004A5B40">
        <w:t xml:space="preserve">the assignment, </w:t>
      </w:r>
      <w:r w:rsidR="006E7482">
        <w:t>and provide</w:t>
      </w:r>
      <w:r w:rsidR="004A5B40">
        <w:t xml:space="preserve"> them with feedback for revision (Gooblar 2017;</w:t>
      </w:r>
      <w:r w:rsidR="004A5B40" w:rsidRPr="004A5B40">
        <w:t xml:space="preserve"> </w:t>
      </w:r>
      <w:r w:rsidR="004A5B40">
        <w:t xml:space="preserve">Fallahi, Wood, and Austad 2006). </w:t>
      </w:r>
      <w:r w:rsidR="006E7482">
        <w:t>It can also help to lighten the workload for instructors. Instructions for peer reviews must be explicit and structured so that students have to provide constructive feedback, or they may not expend the effort or stretch their current review skills (Gooblar 2017). Gooblar (2017) also requires students to ask for specific kinds of feedback in a note provided as a cover page and provides “feedback forms</w:t>
      </w:r>
      <w:r w:rsidR="00A5496C">
        <w:t>,</w:t>
      </w:r>
      <w:r w:rsidR="006E7482">
        <w:t xml:space="preserve">” a two-sided sheet with a series of questions to answer about the draft (e.g., find the thesis and restate it in their own words) designed to help their peers (as opposed to judging them). </w:t>
      </w:r>
    </w:p>
    <w:p w14:paraId="52E425DE" w14:textId="77777777" w:rsidR="00571320" w:rsidRDefault="00571320" w:rsidP="00B81596"/>
    <w:p w14:paraId="2757130D" w14:textId="541B1733" w:rsidR="00755248" w:rsidRPr="00702D53" w:rsidRDefault="00755248" w:rsidP="006E7482">
      <w:pPr>
        <w:rPr>
          <w:b/>
        </w:rPr>
      </w:pPr>
      <w:r w:rsidRPr="00702D53">
        <w:rPr>
          <w:b/>
        </w:rPr>
        <w:t xml:space="preserve">How to decrease </w:t>
      </w:r>
      <w:r w:rsidR="00A5496C">
        <w:rPr>
          <w:b/>
        </w:rPr>
        <w:t xml:space="preserve">the </w:t>
      </w:r>
      <w:r w:rsidR="00556FEA" w:rsidRPr="00702D53">
        <w:rPr>
          <w:b/>
        </w:rPr>
        <w:t xml:space="preserve">amount of time </w:t>
      </w:r>
      <w:r w:rsidR="00A5496C">
        <w:rPr>
          <w:b/>
        </w:rPr>
        <w:t xml:space="preserve">for </w:t>
      </w:r>
      <w:r w:rsidR="00E10E6B" w:rsidRPr="00702D53">
        <w:rPr>
          <w:b/>
        </w:rPr>
        <w:t xml:space="preserve">teaching and </w:t>
      </w:r>
      <w:r w:rsidR="00556FEA" w:rsidRPr="00702D53">
        <w:rPr>
          <w:b/>
        </w:rPr>
        <w:t>grading</w:t>
      </w:r>
      <w:r w:rsidR="009742DB" w:rsidRPr="00702D53">
        <w:rPr>
          <w:b/>
        </w:rPr>
        <w:t xml:space="preserve"> </w:t>
      </w:r>
    </w:p>
    <w:p w14:paraId="051FD9B9" w14:textId="03D4CF91" w:rsidR="0058121D" w:rsidRDefault="007E0F82" w:rsidP="007E0F82">
      <w:r>
        <w:t xml:space="preserve">Grading writing assignments takes a substantial amount of time and is the major reason that faculty decline to assign </w:t>
      </w:r>
      <w:r w:rsidR="009B49E3">
        <w:t xml:space="preserve">them </w:t>
      </w:r>
      <w:r w:rsidR="00F03F59" w:rsidRPr="00F03F59">
        <w:t>(Patterson and Slinger-Friedman 2012)</w:t>
      </w:r>
      <w:r>
        <w:t xml:space="preserve">. </w:t>
      </w:r>
      <w:r w:rsidR="0058121D">
        <w:t>Decreasing the time and effort in writing evaluation can increase the number of writing assignments/opportunities that instructors offer their students. There are many options for decreasing grading time and effort:</w:t>
      </w:r>
    </w:p>
    <w:p w14:paraId="0DDE6875" w14:textId="34B75A21" w:rsidR="00373470" w:rsidRDefault="00373470" w:rsidP="0058121D">
      <w:pPr>
        <w:pStyle w:val="ListParagraph"/>
        <w:numPr>
          <w:ilvl w:val="0"/>
          <w:numId w:val="14"/>
        </w:numPr>
      </w:pPr>
      <w:r>
        <w:t>Teaching efforts can be divided between prof</w:t>
      </w:r>
      <w:r w:rsidR="0058121D">
        <w:t xml:space="preserve">essors and teaching assistants using </w:t>
      </w:r>
      <w:r>
        <w:t>a hierarchical structure to teach and grade writing (Wingate, Andon, and Cogo 2011; Stewart, et al. 2015).</w:t>
      </w:r>
    </w:p>
    <w:p w14:paraId="3C273317" w14:textId="6B995676" w:rsidR="000A3E99" w:rsidRDefault="0058121D" w:rsidP="0058121D">
      <w:pPr>
        <w:pStyle w:val="ListParagraph"/>
        <w:numPr>
          <w:ilvl w:val="0"/>
          <w:numId w:val="14"/>
        </w:numPr>
      </w:pPr>
      <w:r>
        <w:t>Patterson and Slinger-Friedman (2012) suggest giving c</w:t>
      </w:r>
      <w:r w:rsidR="000A3E99">
        <w:t>ompletion</w:t>
      </w:r>
      <w:r>
        <w:t>/participation</w:t>
      </w:r>
      <w:r w:rsidR="000A3E99">
        <w:t xml:space="preserve"> grades on </w:t>
      </w:r>
      <w:r w:rsidR="00BF6D2C">
        <w:t>some writing assignments</w:t>
      </w:r>
      <w:r>
        <w:t>, encouraging writing but not adding much time to an instructor’s workload.</w:t>
      </w:r>
    </w:p>
    <w:p w14:paraId="2C029F7D" w14:textId="3A04E7A2" w:rsidR="00593917" w:rsidRDefault="0058121D" w:rsidP="0058121D">
      <w:pPr>
        <w:pStyle w:val="ListParagraph"/>
        <w:numPr>
          <w:ilvl w:val="0"/>
          <w:numId w:val="14"/>
        </w:numPr>
      </w:pPr>
      <w:r>
        <w:t xml:space="preserve">Instructors should only </w:t>
      </w:r>
      <w:r w:rsidR="00593917">
        <w:t>provide extensive written comments and suggestions on papers that are going to be revised</w:t>
      </w:r>
      <w:r>
        <w:t xml:space="preserve">; </w:t>
      </w:r>
      <w:r w:rsidR="00593917">
        <w:t xml:space="preserve">summary comments </w:t>
      </w:r>
      <w:r>
        <w:t xml:space="preserve">are sufficient for discrete or individual writing assignments and </w:t>
      </w:r>
      <w:r w:rsidR="00C404BD">
        <w:t xml:space="preserve">are </w:t>
      </w:r>
      <w:r>
        <w:t xml:space="preserve">more likely to be read by students </w:t>
      </w:r>
      <w:r w:rsidR="00B378FA">
        <w:t>(Fallahi, Wood, and Austad 2006)</w:t>
      </w:r>
      <w:r>
        <w:t>.</w:t>
      </w:r>
    </w:p>
    <w:p w14:paraId="009153F1" w14:textId="3FAB4EE1" w:rsidR="00BF6D2C" w:rsidRDefault="0058121D" w:rsidP="0058121D">
      <w:pPr>
        <w:pStyle w:val="ListParagraph"/>
        <w:numPr>
          <w:ilvl w:val="0"/>
          <w:numId w:val="14"/>
        </w:numPr>
      </w:pPr>
      <w:r>
        <w:lastRenderedPageBreak/>
        <w:t>As stated above, using clear r</w:t>
      </w:r>
      <w:r w:rsidR="00BF6D2C">
        <w:t>ubrics for grading papers</w:t>
      </w:r>
      <w:r w:rsidR="00B81596">
        <w:t xml:space="preserve"> </w:t>
      </w:r>
      <w:r>
        <w:t xml:space="preserve">substantially reduces the amount of time needed to grade individual papers </w:t>
      </w:r>
      <w:r w:rsidR="00B81596">
        <w:t>(Patterson and Slinger-Friedman 2012</w:t>
      </w:r>
      <w:r w:rsidR="0001250D">
        <w:t>; Stewart, et al. 2015</w:t>
      </w:r>
      <w:r w:rsidR="00C721F5">
        <w:t xml:space="preserve">; </w:t>
      </w:r>
      <w:r w:rsidR="0075762A">
        <w:t>Fallahi, Wood, and Austad 2006</w:t>
      </w:r>
      <w:r w:rsidR="00B81596">
        <w:t>)</w:t>
      </w:r>
      <w:r>
        <w:t>.</w:t>
      </w:r>
    </w:p>
    <w:p w14:paraId="0F9E6086" w14:textId="6991834D" w:rsidR="00BF6D2C" w:rsidRDefault="0058121D" w:rsidP="0058121D">
      <w:pPr>
        <w:pStyle w:val="ListParagraph"/>
        <w:numPr>
          <w:ilvl w:val="0"/>
          <w:numId w:val="14"/>
        </w:numPr>
      </w:pPr>
      <w:r>
        <w:t>Also mentioned previously, the use of p</w:t>
      </w:r>
      <w:r w:rsidR="00BF6D2C">
        <w:t>eer reviews</w:t>
      </w:r>
      <w:r w:rsidR="00B378FA">
        <w:t xml:space="preserve"> </w:t>
      </w:r>
      <w:r>
        <w:t xml:space="preserve">and evaluations can decrease the amount of time an instructor spends providing comments and/or grading assignments </w:t>
      </w:r>
      <w:r w:rsidR="00B11FDC">
        <w:t xml:space="preserve">by distributing the work between students and the instructor </w:t>
      </w:r>
      <w:r w:rsidR="00B378FA">
        <w:t>(Fallahi, Wood, and Austad 2006)</w:t>
      </w:r>
      <w:r>
        <w:t>.</w:t>
      </w:r>
    </w:p>
    <w:p w14:paraId="0CCD8B30" w14:textId="2C31877A" w:rsidR="0001250D" w:rsidRDefault="0058121D" w:rsidP="0058121D">
      <w:pPr>
        <w:pStyle w:val="ListParagraph"/>
        <w:numPr>
          <w:ilvl w:val="0"/>
          <w:numId w:val="14"/>
        </w:numPr>
      </w:pPr>
      <w:r>
        <w:t>It requires much less time to grade assignments that are highly</w:t>
      </w:r>
      <w:r w:rsidR="00C404BD">
        <w:t xml:space="preserve"> </w:t>
      </w:r>
      <w:r>
        <w:t>structured, short tasks such as abstracts and</w:t>
      </w:r>
      <w:r w:rsidR="0001250D">
        <w:t xml:space="preserve"> s</w:t>
      </w:r>
      <w:r>
        <w:t>hort revisions of “bad” writing</w:t>
      </w:r>
      <w:r w:rsidR="00B11FDC">
        <w:t xml:space="preserve"> than it does to grade longer papers</w:t>
      </w:r>
      <w:r w:rsidR="0001250D">
        <w:t xml:space="preserve"> (Stewart, et al. 2015)</w:t>
      </w:r>
      <w:r w:rsidR="00C404BD">
        <w:t>.</w:t>
      </w:r>
    </w:p>
    <w:p w14:paraId="0445E6D0" w14:textId="77777777" w:rsidR="002E54D8" w:rsidRDefault="002E54D8" w:rsidP="002E54D8">
      <w:pPr>
        <w:rPr>
          <w:b/>
        </w:rPr>
      </w:pPr>
    </w:p>
    <w:p w14:paraId="30E3A348" w14:textId="77777777" w:rsidR="002E54D8" w:rsidRPr="002E54D8" w:rsidRDefault="002E54D8" w:rsidP="002E54D8">
      <w:pPr>
        <w:rPr>
          <w:b/>
        </w:rPr>
      </w:pPr>
      <w:r w:rsidRPr="002E54D8">
        <w:rPr>
          <w:b/>
        </w:rPr>
        <w:t>Survey Results</w:t>
      </w:r>
    </w:p>
    <w:p w14:paraId="4D2C7EF4" w14:textId="3B3DE294" w:rsidR="002E54D8" w:rsidRDefault="0095579C" w:rsidP="006E304F">
      <w:r>
        <w:t xml:space="preserve">I created a </w:t>
      </w:r>
      <w:r w:rsidR="008B29D1">
        <w:t xml:space="preserve">Qualtrics </w:t>
      </w:r>
      <w:r>
        <w:t>survey for San Jos</w:t>
      </w:r>
      <w:r w:rsidR="00C404BD">
        <w:rPr>
          <w:rFonts w:ascii="Calibri" w:hAnsi="Calibri"/>
        </w:rPr>
        <w:t>é</w:t>
      </w:r>
      <w:r>
        <w:t xml:space="preserve"> State University 100W instructors in STEM disciplines to get an idea of how genre-specific writing in STEM was being taught within the university</w:t>
      </w:r>
      <w:r w:rsidR="009B49E3">
        <w:t xml:space="preserve"> (survey questions are included in the appendix)</w:t>
      </w:r>
      <w:r>
        <w:t>. The survey consisted of 10 questions in which participants could choose as many answers as applied, including a write-in option. Questions ranged from the area of STEM in which the participant taught 100W, the types of assignments they assign, common writing problems they encounter, the teaching practices they employ</w:t>
      </w:r>
      <w:r w:rsidR="008B29D1">
        <w:t>, and whether or not they collaborate with other instructors in their departments. Invitations to respond to the survey were sent out to thirty-nine 100W STEM instructors, and nine responses were recorded, a 23% response rate.</w:t>
      </w:r>
    </w:p>
    <w:p w14:paraId="6203B4A7" w14:textId="77777777" w:rsidR="008B29D1" w:rsidRDefault="008B29D1" w:rsidP="006E304F"/>
    <w:p w14:paraId="1927A4C4" w14:textId="6303E31C" w:rsidR="008B29D1" w:rsidRDefault="008B29D1" w:rsidP="006E304F">
      <w:r>
        <w:t>Of the nine respondents, two self-reported teaching in science</w:t>
      </w:r>
      <w:r w:rsidR="00871D85">
        <w:t xml:space="preserve"> (25% of respondents)</w:t>
      </w:r>
      <w:r>
        <w:t>, three in social science (</w:t>
      </w:r>
      <w:r w:rsidR="00C404BD">
        <w:t>e.g.,</w:t>
      </w:r>
      <w:r>
        <w:t xml:space="preserve"> anthropology, economics, psychology, sociology)</w:t>
      </w:r>
      <w:r w:rsidR="00871D85">
        <w:t xml:space="preserve"> (38%)</w:t>
      </w:r>
      <w:r>
        <w:t>, one in technology</w:t>
      </w:r>
      <w:r w:rsidR="00871D85">
        <w:t xml:space="preserve"> (13%)</w:t>
      </w:r>
      <w:r>
        <w:t>, and two in engineering</w:t>
      </w:r>
      <w:r w:rsidR="00871D85">
        <w:t xml:space="preserve"> (25%)</w:t>
      </w:r>
      <w:r>
        <w:t xml:space="preserve">. No </w:t>
      </w:r>
      <w:r w:rsidR="00871D85">
        <w:t xml:space="preserve">100W instructors from the </w:t>
      </w:r>
      <w:r w:rsidR="009B49E3">
        <w:t>M</w:t>
      </w:r>
      <w:r w:rsidR="00871D85">
        <w:t xml:space="preserve">ath </w:t>
      </w:r>
      <w:r w:rsidR="009B49E3">
        <w:t>D</w:t>
      </w:r>
      <w:r w:rsidR="00871D85">
        <w:t xml:space="preserve">epartment responded. </w:t>
      </w:r>
    </w:p>
    <w:p w14:paraId="2536CC4E" w14:textId="77777777" w:rsidR="00871D85" w:rsidRDefault="00871D85" w:rsidP="006E304F"/>
    <w:p w14:paraId="73B230D7" w14:textId="1CB29405" w:rsidR="00871D85" w:rsidRDefault="00871D85" w:rsidP="006E304F">
      <w:r>
        <w:t>The most commonly assigned formal writing assignments were research proposals (88% of respondents assigned this type of assignment), followed by long research papers (8+ pages) and annotated bibliographies (75% each), and short research papers (4-7 pages), critiques or reviews, and abstracts (50%</w:t>
      </w:r>
      <w:r w:rsidR="009B49E3">
        <w:t xml:space="preserve"> each</w:t>
      </w:r>
      <w:r>
        <w:t>).</w:t>
      </w:r>
    </w:p>
    <w:p w14:paraId="459BCDB4" w14:textId="77777777" w:rsidR="0095579C" w:rsidRDefault="0095579C" w:rsidP="006E304F"/>
    <w:p w14:paraId="7E713B31" w14:textId="0A0CA1BB" w:rsidR="00871D85" w:rsidRDefault="00871D85" w:rsidP="006E304F">
      <w:r>
        <w:t xml:space="preserve">The most commonly assigned informal writing assignments were journals (71%), followed by essay exam questions (57%). </w:t>
      </w:r>
    </w:p>
    <w:p w14:paraId="74D77E13" w14:textId="77777777" w:rsidR="00871D85" w:rsidRDefault="00871D85" w:rsidP="006E304F"/>
    <w:p w14:paraId="21A53C1B" w14:textId="325A886A" w:rsidR="00871D85" w:rsidRDefault="00871D85" w:rsidP="006E304F">
      <w:r>
        <w:t>Instructors assigned the following types of professional writing assignments most often: resum</w:t>
      </w:r>
      <w:r w:rsidR="009B49E3">
        <w:rPr>
          <w:rFonts w:cstheme="minorHAnsi"/>
        </w:rPr>
        <w:t>é</w:t>
      </w:r>
      <w:r>
        <w:t xml:space="preserve">s or curriculum vitae (88%), job application cover letters and PowerPoint presentations (75% each), professional emails and memoranda (38% each), and agenda (25%). </w:t>
      </w:r>
    </w:p>
    <w:p w14:paraId="6279E976" w14:textId="77777777" w:rsidR="00871D85" w:rsidRDefault="00871D85" w:rsidP="006E304F"/>
    <w:p w14:paraId="7CAFD168" w14:textId="516966EE" w:rsidR="007D4433" w:rsidRDefault="007C66C9" w:rsidP="007C66C9">
      <w:r>
        <w:t>Eleven student writing issues were common in the literature. At SJSU, 100W i</w:t>
      </w:r>
      <w:r w:rsidR="00871D85">
        <w:t xml:space="preserve">nstructors </w:t>
      </w:r>
      <w:r>
        <w:t>in STEM disciplines self-reported encountering all eleven of these student writing issues to varying degrees (Table 2).</w:t>
      </w:r>
    </w:p>
    <w:p w14:paraId="58F8D264" w14:textId="334CE30F" w:rsidR="00871D85" w:rsidRDefault="00871D85" w:rsidP="006E304F"/>
    <w:p w14:paraId="27AF7A30" w14:textId="6CAD4A25" w:rsidR="007C66C9" w:rsidRPr="007C66C9" w:rsidRDefault="007C66C9" w:rsidP="006E304F">
      <w:pPr>
        <w:rPr>
          <w:sz w:val="20"/>
          <w:szCs w:val="20"/>
        </w:rPr>
      </w:pPr>
      <w:r w:rsidRPr="007C66C9">
        <w:rPr>
          <w:sz w:val="20"/>
          <w:szCs w:val="20"/>
        </w:rPr>
        <w:t xml:space="preserve">Table 2. Student writing issues encountered most often by STEM 100W instructors at SJSU (self-reported). </w:t>
      </w:r>
    </w:p>
    <w:tbl>
      <w:tblPr>
        <w:tblStyle w:val="TableGrid"/>
        <w:tblW w:w="0" w:type="auto"/>
        <w:tblLook w:val="04A0" w:firstRow="1" w:lastRow="0" w:firstColumn="1" w:lastColumn="0" w:noHBand="0" w:noVBand="1"/>
      </w:tblPr>
      <w:tblGrid>
        <w:gridCol w:w="6655"/>
        <w:gridCol w:w="2695"/>
      </w:tblGrid>
      <w:tr w:rsidR="00FC6F07" w:rsidRPr="007C66C9" w14:paraId="00B927D4" w14:textId="77777777" w:rsidTr="00FC6F07">
        <w:tc>
          <w:tcPr>
            <w:tcW w:w="6655" w:type="dxa"/>
          </w:tcPr>
          <w:p w14:paraId="77A20BEF" w14:textId="1C615C99" w:rsidR="00FC6F07" w:rsidRPr="007C66C9" w:rsidRDefault="00FC6F07" w:rsidP="006E304F">
            <w:pPr>
              <w:rPr>
                <w:b/>
                <w:sz w:val="20"/>
                <w:szCs w:val="20"/>
              </w:rPr>
            </w:pPr>
            <w:r w:rsidRPr="007C66C9">
              <w:rPr>
                <w:b/>
                <w:sz w:val="20"/>
                <w:szCs w:val="20"/>
              </w:rPr>
              <w:lastRenderedPageBreak/>
              <w:t xml:space="preserve">Student Error </w:t>
            </w:r>
          </w:p>
        </w:tc>
        <w:tc>
          <w:tcPr>
            <w:tcW w:w="2695" w:type="dxa"/>
          </w:tcPr>
          <w:p w14:paraId="1EB0D3C6" w14:textId="33B9637B" w:rsidR="00FC6F07" w:rsidRPr="007C66C9" w:rsidRDefault="00FC6F07" w:rsidP="006E304F">
            <w:pPr>
              <w:rPr>
                <w:b/>
                <w:sz w:val="20"/>
                <w:szCs w:val="20"/>
              </w:rPr>
            </w:pPr>
            <w:r w:rsidRPr="007C66C9">
              <w:rPr>
                <w:b/>
                <w:sz w:val="20"/>
                <w:szCs w:val="20"/>
              </w:rPr>
              <w:t>Percent of Respondents Encountering the Error</w:t>
            </w:r>
          </w:p>
        </w:tc>
      </w:tr>
      <w:tr w:rsidR="00FC6F07" w:rsidRPr="007C66C9" w14:paraId="4D776187" w14:textId="77777777" w:rsidTr="00FC6F07">
        <w:tc>
          <w:tcPr>
            <w:tcW w:w="6655" w:type="dxa"/>
          </w:tcPr>
          <w:p w14:paraId="5A399BC6" w14:textId="7E146968" w:rsidR="00FC6F07" w:rsidRPr="007C66C9" w:rsidRDefault="00FC6F07" w:rsidP="006E304F">
            <w:pPr>
              <w:rPr>
                <w:sz w:val="20"/>
                <w:szCs w:val="20"/>
              </w:rPr>
            </w:pPr>
            <w:r w:rsidRPr="007C66C9">
              <w:rPr>
                <w:sz w:val="20"/>
                <w:szCs w:val="20"/>
              </w:rPr>
              <w:t>Mechanical errors (spelling, grammar, punctuation)</w:t>
            </w:r>
          </w:p>
        </w:tc>
        <w:tc>
          <w:tcPr>
            <w:tcW w:w="2695" w:type="dxa"/>
          </w:tcPr>
          <w:p w14:paraId="6F19D7C4" w14:textId="6BEACE0F" w:rsidR="00FC6F07" w:rsidRPr="007C66C9" w:rsidRDefault="007C66C9" w:rsidP="007C66C9">
            <w:pPr>
              <w:jc w:val="center"/>
              <w:rPr>
                <w:sz w:val="20"/>
                <w:szCs w:val="20"/>
              </w:rPr>
            </w:pPr>
            <w:r w:rsidRPr="007C66C9">
              <w:rPr>
                <w:sz w:val="20"/>
                <w:szCs w:val="20"/>
              </w:rPr>
              <w:t>88</w:t>
            </w:r>
          </w:p>
        </w:tc>
      </w:tr>
      <w:tr w:rsidR="00FC6F07" w:rsidRPr="007C66C9" w14:paraId="1C2A465B" w14:textId="77777777" w:rsidTr="00FC6F07">
        <w:tc>
          <w:tcPr>
            <w:tcW w:w="6655" w:type="dxa"/>
          </w:tcPr>
          <w:p w14:paraId="77E56476" w14:textId="37B19AF5" w:rsidR="00FC6F07" w:rsidRPr="007C66C9" w:rsidRDefault="00FC6F07" w:rsidP="006E304F">
            <w:pPr>
              <w:rPr>
                <w:sz w:val="20"/>
                <w:szCs w:val="20"/>
              </w:rPr>
            </w:pPr>
            <w:r w:rsidRPr="007C66C9">
              <w:rPr>
                <w:sz w:val="20"/>
                <w:szCs w:val="20"/>
              </w:rPr>
              <w:t>Developing a research question and/or thesis</w:t>
            </w:r>
          </w:p>
        </w:tc>
        <w:tc>
          <w:tcPr>
            <w:tcW w:w="2695" w:type="dxa"/>
          </w:tcPr>
          <w:p w14:paraId="364BFCB4" w14:textId="728E589E" w:rsidR="00FC6F07" w:rsidRPr="007C66C9" w:rsidRDefault="007C66C9" w:rsidP="007C66C9">
            <w:pPr>
              <w:jc w:val="center"/>
              <w:rPr>
                <w:sz w:val="20"/>
                <w:szCs w:val="20"/>
              </w:rPr>
            </w:pPr>
            <w:r w:rsidRPr="007C66C9">
              <w:rPr>
                <w:sz w:val="20"/>
                <w:szCs w:val="20"/>
              </w:rPr>
              <w:t>75</w:t>
            </w:r>
          </w:p>
        </w:tc>
      </w:tr>
      <w:tr w:rsidR="00FC6F07" w:rsidRPr="007C66C9" w14:paraId="78102C6E" w14:textId="77777777" w:rsidTr="00FC6F07">
        <w:tc>
          <w:tcPr>
            <w:tcW w:w="6655" w:type="dxa"/>
          </w:tcPr>
          <w:p w14:paraId="1CD9D70B" w14:textId="2B618500" w:rsidR="00FC6F07" w:rsidRPr="007C66C9" w:rsidRDefault="00FC6F07" w:rsidP="006E304F">
            <w:pPr>
              <w:rPr>
                <w:sz w:val="20"/>
                <w:szCs w:val="20"/>
              </w:rPr>
            </w:pPr>
            <w:r w:rsidRPr="007C66C9">
              <w:rPr>
                <w:sz w:val="20"/>
                <w:szCs w:val="20"/>
              </w:rPr>
              <w:t>Adequately supporting ideas/arguments</w:t>
            </w:r>
          </w:p>
        </w:tc>
        <w:tc>
          <w:tcPr>
            <w:tcW w:w="2695" w:type="dxa"/>
          </w:tcPr>
          <w:p w14:paraId="6C1B8D7F" w14:textId="7B61174C" w:rsidR="00FC6F07" w:rsidRPr="007C66C9" w:rsidRDefault="007C66C9" w:rsidP="007C66C9">
            <w:pPr>
              <w:jc w:val="center"/>
              <w:rPr>
                <w:sz w:val="20"/>
                <w:szCs w:val="20"/>
              </w:rPr>
            </w:pPr>
            <w:r w:rsidRPr="007C66C9">
              <w:rPr>
                <w:sz w:val="20"/>
                <w:szCs w:val="20"/>
              </w:rPr>
              <w:t>75</w:t>
            </w:r>
          </w:p>
        </w:tc>
      </w:tr>
      <w:tr w:rsidR="00FC6F07" w:rsidRPr="007C66C9" w14:paraId="3816F199" w14:textId="77777777" w:rsidTr="00FC6F07">
        <w:tc>
          <w:tcPr>
            <w:tcW w:w="6655" w:type="dxa"/>
          </w:tcPr>
          <w:p w14:paraId="1F857C5D" w14:textId="2EBEE160" w:rsidR="00FC6F07" w:rsidRPr="007C66C9" w:rsidRDefault="007C66C9" w:rsidP="006E304F">
            <w:pPr>
              <w:rPr>
                <w:sz w:val="20"/>
                <w:szCs w:val="20"/>
              </w:rPr>
            </w:pPr>
            <w:r w:rsidRPr="007C66C9">
              <w:rPr>
                <w:sz w:val="20"/>
                <w:szCs w:val="20"/>
              </w:rPr>
              <w:t>Using vague language and/or incorrect terminology</w:t>
            </w:r>
          </w:p>
        </w:tc>
        <w:tc>
          <w:tcPr>
            <w:tcW w:w="2695" w:type="dxa"/>
          </w:tcPr>
          <w:p w14:paraId="5F00ADC3" w14:textId="5AA75F3C" w:rsidR="00FC6F07" w:rsidRPr="007C66C9" w:rsidRDefault="007C66C9" w:rsidP="007C66C9">
            <w:pPr>
              <w:jc w:val="center"/>
              <w:rPr>
                <w:sz w:val="20"/>
                <w:szCs w:val="20"/>
              </w:rPr>
            </w:pPr>
            <w:r w:rsidRPr="007C66C9">
              <w:rPr>
                <w:sz w:val="20"/>
                <w:szCs w:val="20"/>
              </w:rPr>
              <w:t>75</w:t>
            </w:r>
          </w:p>
        </w:tc>
      </w:tr>
      <w:tr w:rsidR="00FC6F07" w:rsidRPr="007C66C9" w14:paraId="43B68604" w14:textId="77777777" w:rsidTr="00FC6F07">
        <w:tc>
          <w:tcPr>
            <w:tcW w:w="6655" w:type="dxa"/>
          </w:tcPr>
          <w:p w14:paraId="633F59AA" w14:textId="0596CB82" w:rsidR="00FC6F07" w:rsidRPr="007C66C9" w:rsidRDefault="007C66C9" w:rsidP="006E304F">
            <w:pPr>
              <w:rPr>
                <w:sz w:val="20"/>
                <w:szCs w:val="20"/>
              </w:rPr>
            </w:pPr>
            <w:r w:rsidRPr="007C66C9">
              <w:rPr>
                <w:sz w:val="20"/>
                <w:szCs w:val="20"/>
              </w:rPr>
              <w:t>Developing a clear argument</w:t>
            </w:r>
          </w:p>
        </w:tc>
        <w:tc>
          <w:tcPr>
            <w:tcW w:w="2695" w:type="dxa"/>
          </w:tcPr>
          <w:p w14:paraId="105FBBDB" w14:textId="4E27E9BB" w:rsidR="00FC6F07" w:rsidRPr="007C66C9" w:rsidRDefault="007C66C9" w:rsidP="007C66C9">
            <w:pPr>
              <w:jc w:val="center"/>
              <w:rPr>
                <w:sz w:val="20"/>
                <w:szCs w:val="20"/>
              </w:rPr>
            </w:pPr>
            <w:r w:rsidRPr="007C66C9">
              <w:rPr>
                <w:sz w:val="20"/>
                <w:szCs w:val="20"/>
              </w:rPr>
              <w:t>63</w:t>
            </w:r>
          </w:p>
        </w:tc>
      </w:tr>
      <w:tr w:rsidR="00FC6F07" w:rsidRPr="007C66C9" w14:paraId="5A5AB870" w14:textId="77777777" w:rsidTr="00FC6F07">
        <w:tc>
          <w:tcPr>
            <w:tcW w:w="6655" w:type="dxa"/>
          </w:tcPr>
          <w:p w14:paraId="4C402FE7" w14:textId="0904C897" w:rsidR="00FC6F07" w:rsidRPr="007C66C9" w:rsidRDefault="007C66C9" w:rsidP="006E304F">
            <w:pPr>
              <w:rPr>
                <w:sz w:val="20"/>
                <w:szCs w:val="20"/>
              </w:rPr>
            </w:pPr>
            <w:r w:rsidRPr="007C66C9">
              <w:rPr>
                <w:sz w:val="20"/>
                <w:szCs w:val="20"/>
              </w:rPr>
              <w:t>Lack of transitions</w:t>
            </w:r>
          </w:p>
        </w:tc>
        <w:tc>
          <w:tcPr>
            <w:tcW w:w="2695" w:type="dxa"/>
          </w:tcPr>
          <w:p w14:paraId="557A92B3" w14:textId="1383026E" w:rsidR="00FC6F07" w:rsidRPr="007C66C9" w:rsidRDefault="007C66C9" w:rsidP="007C66C9">
            <w:pPr>
              <w:jc w:val="center"/>
              <w:rPr>
                <w:sz w:val="20"/>
                <w:szCs w:val="20"/>
              </w:rPr>
            </w:pPr>
            <w:r w:rsidRPr="007C66C9">
              <w:rPr>
                <w:sz w:val="20"/>
                <w:szCs w:val="20"/>
              </w:rPr>
              <w:t>50</w:t>
            </w:r>
          </w:p>
        </w:tc>
      </w:tr>
      <w:tr w:rsidR="007C66C9" w:rsidRPr="007C66C9" w14:paraId="62418A88" w14:textId="77777777" w:rsidTr="00FC6F07">
        <w:tc>
          <w:tcPr>
            <w:tcW w:w="6655" w:type="dxa"/>
          </w:tcPr>
          <w:p w14:paraId="024ED3E5" w14:textId="2C7C742E" w:rsidR="007C66C9" w:rsidRPr="007C66C9" w:rsidRDefault="007C66C9" w:rsidP="006E304F">
            <w:pPr>
              <w:rPr>
                <w:sz w:val="20"/>
                <w:szCs w:val="20"/>
              </w:rPr>
            </w:pPr>
            <w:r w:rsidRPr="007C66C9">
              <w:rPr>
                <w:sz w:val="20"/>
                <w:szCs w:val="20"/>
              </w:rPr>
              <w:t>Locating and choosing appropriate sources</w:t>
            </w:r>
          </w:p>
        </w:tc>
        <w:tc>
          <w:tcPr>
            <w:tcW w:w="2695" w:type="dxa"/>
          </w:tcPr>
          <w:p w14:paraId="25239CC2" w14:textId="73BA0C9C" w:rsidR="007C66C9" w:rsidRPr="007C66C9" w:rsidRDefault="007C66C9" w:rsidP="007C66C9">
            <w:pPr>
              <w:jc w:val="center"/>
              <w:rPr>
                <w:sz w:val="20"/>
                <w:szCs w:val="20"/>
              </w:rPr>
            </w:pPr>
            <w:r w:rsidRPr="007C66C9">
              <w:rPr>
                <w:sz w:val="20"/>
                <w:szCs w:val="20"/>
              </w:rPr>
              <w:t>38</w:t>
            </w:r>
          </w:p>
        </w:tc>
      </w:tr>
      <w:tr w:rsidR="007C66C9" w:rsidRPr="007C66C9" w14:paraId="481BE613" w14:textId="77777777" w:rsidTr="00FC6F07">
        <w:tc>
          <w:tcPr>
            <w:tcW w:w="6655" w:type="dxa"/>
          </w:tcPr>
          <w:p w14:paraId="502F5811" w14:textId="3680EDF1" w:rsidR="007C66C9" w:rsidRPr="007C66C9" w:rsidRDefault="007C66C9" w:rsidP="006E304F">
            <w:pPr>
              <w:rPr>
                <w:sz w:val="20"/>
                <w:szCs w:val="20"/>
              </w:rPr>
            </w:pPr>
            <w:r w:rsidRPr="007C66C9">
              <w:rPr>
                <w:sz w:val="20"/>
                <w:szCs w:val="20"/>
              </w:rPr>
              <w:t>Analytical thinking</w:t>
            </w:r>
          </w:p>
        </w:tc>
        <w:tc>
          <w:tcPr>
            <w:tcW w:w="2695" w:type="dxa"/>
          </w:tcPr>
          <w:p w14:paraId="435251E0" w14:textId="7E8F4F16" w:rsidR="007C66C9" w:rsidRPr="007C66C9" w:rsidRDefault="007C66C9" w:rsidP="007C66C9">
            <w:pPr>
              <w:jc w:val="center"/>
              <w:rPr>
                <w:sz w:val="20"/>
                <w:szCs w:val="20"/>
              </w:rPr>
            </w:pPr>
            <w:r w:rsidRPr="007C66C9">
              <w:rPr>
                <w:sz w:val="20"/>
                <w:szCs w:val="20"/>
              </w:rPr>
              <w:t>38</w:t>
            </w:r>
          </w:p>
        </w:tc>
      </w:tr>
      <w:tr w:rsidR="007C66C9" w:rsidRPr="007C66C9" w14:paraId="6541AE9C" w14:textId="77777777" w:rsidTr="00FC6F07">
        <w:tc>
          <w:tcPr>
            <w:tcW w:w="6655" w:type="dxa"/>
          </w:tcPr>
          <w:p w14:paraId="6360D55E" w14:textId="3E41E71A" w:rsidR="007C66C9" w:rsidRPr="007C66C9" w:rsidRDefault="007C66C9" w:rsidP="006E304F">
            <w:pPr>
              <w:rPr>
                <w:sz w:val="20"/>
                <w:szCs w:val="20"/>
              </w:rPr>
            </w:pPr>
            <w:r w:rsidRPr="007C66C9">
              <w:rPr>
                <w:sz w:val="20"/>
                <w:szCs w:val="20"/>
              </w:rPr>
              <w:t>Organization, logical sequencing, and/or linking of ideas</w:t>
            </w:r>
          </w:p>
        </w:tc>
        <w:tc>
          <w:tcPr>
            <w:tcW w:w="2695" w:type="dxa"/>
          </w:tcPr>
          <w:p w14:paraId="14E661C6" w14:textId="4FDAE2AE" w:rsidR="007C66C9" w:rsidRPr="007C66C9" w:rsidRDefault="007C66C9" w:rsidP="007C66C9">
            <w:pPr>
              <w:jc w:val="center"/>
              <w:rPr>
                <w:sz w:val="20"/>
                <w:szCs w:val="20"/>
              </w:rPr>
            </w:pPr>
            <w:r w:rsidRPr="007C66C9">
              <w:rPr>
                <w:sz w:val="20"/>
                <w:szCs w:val="20"/>
              </w:rPr>
              <w:t>38</w:t>
            </w:r>
          </w:p>
        </w:tc>
      </w:tr>
      <w:tr w:rsidR="007C66C9" w:rsidRPr="007C66C9" w14:paraId="0F20996C" w14:textId="77777777" w:rsidTr="00FC6F07">
        <w:tc>
          <w:tcPr>
            <w:tcW w:w="6655" w:type="dxa"/>
          </w:tcPr>
          <w:p w14:paraId="6DBB94B8" w14:textId="0B493380" w:rsidR="007C66C9" w:rsidRPr="007C66C9" w:rsidRDefault="007C66C9" w:rsidP="006E304F">
            <w:pPr>
              <w:rPr>
                <w:sz w:val="20"/>
                <w:szCs w:val="20"/>
              </w:rPr>
            </w:pPr>
            <w:r w:rsidRPr="007C66C9">
              <w:rPr>
                <w:sz w:val="20"/>
                <w:szCs w:val="20"/>
              </w:rPr>
              <w:t>Paragraph organization/construction</w:t>
            </w:r>
          </w:p>
        </w:tc>
        <w:tc>
          <w:tcPr>
            <w:tcW w:w="2695" w:type="dxa"/>
          </w:tcPr>
          <w:p w14:paraId="504556D2" w14:textId="6A4A914F" w:rsidR="007C66C9" w:rsidRPr="007C66C9" w:rsidRDefault="007C66C9" w:rsidP="007C66C9">
            <w:pPr>
              <w:jc w:val="center"/>
              <w:rPr>
                <w:sz w:val="20"/>
                <w:szCs w:val="20"/>
              </w:rPr>
            </w:pPr>
            <w:r w:rsidRPr="007C66C9">
              <w:rPr>
                <w:sz w:val="20"/>
                <w:szCs w:val="20"/>
              </w:rPr>
              <w:t>38</w:t>
            </w:r>
          </w:p>
        </w:tc>
      </w:tr>
      <w:tr w:rsidR="00FC6F07" w:rsidRPr="007C66C9" w14:paraId="5F0CD231" w14:textId="77777777" w:rsidTr="00FC6F07">
        <w:tc>
          <w:tcPr>
            <w:tcW w:w="6655" w:type="dxa"/>
          </w:tcPr>
          <w:p w14:paraId="6562919A" w14:textId="6878F9B6" w:rsidR="00FC6F07" w:rsidRPr="007C66C9" w:rsidRDefault="007C66C9" w:rsidP="006E304F">
            <w:pPr>
              <w:rPr>
                <w:sz w:val="20"/>
                <w:szCs w:val="20"/>
              </w:rPr>
            </w:pPr>
            <w:r w:rsidRPr="007C66C9">
              <w:rPr>
                <w:sz w:val="20"/>
                <w:szCs w:val="20"/>
              </w:rPr>
              <w:t>Appropriate citing and referencing (avoiding plagiarism)</w:t>
            </w:r>
          </w:p>
        </w:tc>
        <w:tc>
          <w:tcPr>
            <w:tcW w:w="2695" w:type="dxa"/>
          </w:tcPr>
          <w:p w14:paraId="1178B6E3" w14:textId="0F406507" w:rsidR="00FC6F07" w:rsidRPr="007C66C9" w:rsidRDefault="007C66C9" w:rsidP="007C66C9">
            <w:pPr>
              <w:jc w:val="center"/>
              <w:rPr>
                <w:sz w:val="20"/>
                <w:szCs w:val="20"/>
              </w:rPr>
            </w:pPr>
            <w:r w:rsidRPr="007C66C9">
              <w:rPr>
                <w:sz w:val="20"/>
                <w:szCs w:val="20"/>
              </w:rPr>
              <w:t>38</w:t>
            </w:r>
          </w:p>
        </w:tc>
      </w:tr>
    </w:tbl>
    <w:p w14:paraId="656760FE" w14:textId="77777777" w:rsidR="00FC6F07" w:rsidRDefault="00FC6F07" w:rsidP="006E304F"/>
    <w:p w14:paraId="54A548E9" w14:textId="3ACE4EFC" w:rsidR="00871D85" w:rsidRDefault="007D4433" w:rsidP="006E304F">
      <w:r>
        <w:t xml:space="preserve">Teaching practices that most respondents employ in their classes include </w:t>
      </w:r>
      <w:r w:rsidR="00B8062E">
        <w:t xml:space="preserve">assigning </w:t>
      </w:r>
      <w:r>
        <w:t xml:space="preserve">drafts of papers due for peer review (100% of respondents); providing rubrics with their assignments, </w:t>
      </w:r>
      <w:r w:rsidR="001F3575">
        <w:t xml:space="preserve">requiring drafts of papers for instructor review, and providing opportunities for revision/resubmission (after reviews or grades are assigned) (88% of respondents); providing time to free-write/brainstorm about assignments in class, requiring outlines prior to drafts of papers, offering examples of professional writing (75%); and working with tutors outside of class (50%). </w:t>
      </w:r>
    </w:p>
    <w:p w14:paraId="4C7B0542" w14:textId="77777777" w:rsidR="004643C6" w:rsidRDefault="004643C6" w:rsidP="006E304F"/>
    <w:p w14:paraId="2685944A" w14:textId="001E0EFC" w:rsidR="004643C6" w:rsidRDefault="004643C6" w:rsidP="006E304F">
      <w:r>
        <w:t xml:space="preserve">Writing instruction offered by 100W instructors in STEM disciplines at SJSU </w:t>
      </w:r>
      <w:r w:rsidR="002A1E81">
        <w:t>includes style, format, citations</w:t>
      </w:r>
      <w:r w:rsidR="00B8062E">
        <w:t>,</w:t>
      </w:r>
      <w:r w:rsidR="002A1E81">
        <w:t xml:space="preserve"> and references (100% of respondents); grammar and/or syntax, paper organization/outlining, research techniques, guidance for reading peer reviewed articles (88%</w:t>
      </w:r>
      <w:r w:rsidR="00F03F59">
        <w:t xml:space="preserve"> each</w:t>
      </w:r>
      <w:r w:rsidR="002A1E81">
        <w:t xml:space="preserve">); how to address the writing prompt (63%); and scaffolded assignments (50%). </w:t>
      </w:r>
    </w:p>
    <w:p w14:paraId="7A105A7E" w14:textId="77777777" w:rsidR="002A1E81" w:rsidRDefault="002A1E81" w:rsidP="006E304F"/>
    <w:p w14:paraId="18594E95" w14:textId="216A721A" w:rsidR="0093538E" w:rsidRDefault="002A1E81" w:rsidP="0093538E">
      <w:r>
        <w:t xml:space="preserve">Seventy-five percent of respondents collaborate with other instructors within their departments to create a consistent and cohesive writing curriculum for their majors. </w:t>
      </w:r>
      <w:r w:rsidR="00B8062E">
        <w:t xml:space="preserve">These respondents cite that this is accomplished through meetings and sharing documents and metrics. </w:t>
      </w:r>
      <w:r w:rsidR="0093538E">
        <w:t xml:space="preserve">All respondents report collaboration with other 100W faculty; there were no reports of collaborations with instructors of other </w:t>
      </w:r>
      <w:r w:rsidR="00B8062E">
        <w:t>upper-</w:t>
      </w:r>
      <w:r w:rsidR="0093538E">
        <w:t>division courses within their departments, although the lack of data does not definitively rule these types of collaborations out.</w:t>
      </w:r>
    </w:p>
    <w:p w14:paraId="3A3F05C0" w14:textId="77777777" w:rsidR="0093538E" w:rsidRDefault="0093538E" w:rsidP="0093538E"/>
    <w:p w14:paraId="1ECC7AA2" w14:textId="61710E91" w:rsidR="0093538E" w:rsidRDefault="0093538E" w:rsidP="0093538E">
      <w:r>
        <w:t>Six of the nine respondents offered their most successful teaching technique, assignment, or approach to writing in STEM</w:t>
      </w:r>
      <w:r w:rsidR="007E2317">
        <w:t xml:space="preserve">. The responses </w:t>
      </w:r>
      <w:r w:rsidR="007C5403">
        <w:t xml:space="preserve">included the following comments.  </w:t>
      </w:r>
    </w:p>
    <w:p w14:paraId="7413E075" w14:textId="6457CD5D" w:rsidR="007E2317" w:rsidRDefault="007E2317" w:rsidP="007E2317">
      <w:pPr>
        <w:pStyle w:val="ListParagraph"/>
        <w:numPr>
          <w:ilvl w:val="0"/>
          <w:numId w:val="17"/>
        </w:numPr>
      </w:pPr>
      <w:r>
        <w:t xml:space="preserve">“Assignments that build into a lit review: pre topic, topic props, outlines, drafts, final drafts, posters” </w:t>
      </w:r>
    </w:p>
    <w:p w14:paraId="41C0EF7D" w14:textId="2A2E4372" w:rsidR="007E2317" w:rsidRDefault="007E2317" w:rsidP="007E2317">
      <w:pPr>
        <w:pStyle w:val="ListParagraph"/>
        <w:numPr>
          <w:ilvl w:val="0"/>
          <w:numId w:val="17"/>
        </w:numPr>
      </w:pPr>
      <w:r>
        <w:t xml:space="preserve">“Clear guidance and high expectations” </w:t>
      </w:r>
    </w:p>
    <w:p w14:paraId="51DDDC81" w14:textId="4CC7F114" w:rsidR="007E2317" w:rsidRDefault="007E2317" w:rsidP="007E2317">
      <w:pPr>
        <w:pStyle w:val="ListParagraph"/>
        <w:numPr>
          <w:ilvl w:val="0"/>
          <w:numId w:val="17"/>
        </w:numPr>
      </w:pPr>
      <w:r>
        <w:t>“In class peer review is essential, allowing students to get instant feedback from different perspectives. Also, allowing student to re-write assignments they did not score well on is something I endorse and encourage”</w:t>
      </w:r>
    </w:p>
    <w:p w14:paraId="2AAC02BE" w14:textId="66E7EEA8" w:rsidR="007E2317" w:rsidRDefault="007E2317" w:rsidP="007E2317">
      <w:pPr>
        <w:pStyle w:val="ListParagraph"/>
        <w:numPr>
          <w:ilvl w:val="0"/>
          <w:numId w:val="17"/>
        </w:numPr>
      </w:pPr>
      <w:r>
        <w:t xml:space="preserve">“Language-based pedagogy with feedback that re-enforces key terms and concepts” </w:t>
      </w:r>
    </w:p>
    <w:p w14:paraId="18D51AF2" w14:textId="125D4A47" w:rsidR="00662DFE" w:rsidRDefault="007E2317" w:rsidP="0019445A">
      <w:pPr>
        <w:pStyle w:val="ListParagraph"/>
        <w:numPr>
          <w:ilvl w:val="0"/>
          <w:numId w:val="17"/>
        </w:numPr>
      </w:pPr>
      <w:r>
        <w:t xml:space="preserve">“Hands-on collaborative activities” </w:t>
      </w:r>
    </w:p>
    <w:p w14:paraId="693B2920" w14:textId="77777777" w:rsidR="007D4433" w:rsidRDefault="007D4433" w:rsidP="006E304F"/>
    <w:p w14:paraId="7D00D03F" w14:textId="77777777" w:rsidR="00E06645" w:rsidRDefault="00E06645" w:rsidP="00E06645">
      <w:pPr>
        <w:rPr>
          <w:b/>
        </w:rPr>
      </w:pPr>
      <w:r w:rsidRPr="00E06645">
        <w:rPr>
          <w:b/>
        </w:rPr>
        <w:lastRenderedPageBreak/>
        <w:t>Comparison of Literature Review to SJSU Survey results</w:t>
      </w:r>
    </w:p>
    <w:p w14:paraId="3EE3B15C" w14:textId="502DC6BE" w:rsidR="0023646F" w:rsidRDefault="00857AB8" w:rsidP="00E06645">
      <w:r>
        <w:t xml:space="preserve">The techniques identified in the literature survey are condensed in table format and presented by organizational level (e.g., university-wide, department-wide, and within a class) in Table 1. Because the survey was only sent to 100W instructors in STEM disciplines, some of the techniques </w:t>
      </w:r>
      <w:r w:rsidR="00EA261B">
        <w:t xml:space="preserve">identified in the literature survey </w:t>
      </w:r>
      <w:r>
        <w:t>were not specifically included</w:t>
      </w:r>
      <w:r w:rsidR="00EA261B">
        <w:t xml:space="preserve"> in the administered survey</w:t>
      </w:r>
      <w:r>
        <w:t>. This does not necessarily mean that they are not employed by San Jos</w:t>
      </w:r>
      <w:r w:rsidR="00603370">
        <w:rPr>
          <w:rFonts w:ascii="Calibri" w:hAnsi="Calibri"/>
        </w:rPr>
        <w:t>é</w:t>
      </w:r>
      <w:r>
        <w:t xml:space="preserve"> State University faculty teaching writing in STEM, only that the question was not included, or that the 100W instructor did not or was not able to provide that information.</w:t>
      </w:r>
    </w:p>
    <w:p w14:paraId="4D4E6207" w14:textId="77777777" w:rsidR="00857AB8" w:rsidRDefault="00857AB8" w:rsidP="00E06645"/>
    <w:p w14:paraId="531387E0" w14:textId="0C8B2BE2" w:rsidR="00857AB8" w:rsidRDefault="00857AB8" w:rsidP="00E06645">
      <w:r>
        <w:t>In some cases, additional information was available that I included in the table</w:t>
      </w:r>
      <w:r w:rsidR="007C4370">
        <w:t>. For instance, the College of Science has an annual Research Day, during which graduate and undergraduate students</w:t>
      </w:r>
      <w:r w:rsidR="00603370">
        <w:t xml:space="preserve"> who</w:t>
      </w:r>
      <w:r w:rsidR="007C4370">
        <w:t xml:space="preserve"> have participated in individual research projects present their findings in a poster session. These projects were not likely conducted via 100W classes, and are therefore not represented in survey findings, but </w:t>
      </w:r>
      <w:r w:rsidR="00603370">
        <w:t xml:space="preserve">they </w:t>
      </w:r>
      <w:r w:rsidR="007C4370">
        <w:t>are included in the table.</w:t>
      </w:r>
    </w:p>
    <w:p w14:paraId="7B23074A" w14:textId="77777777" w:rsidR="007C4370" w:rsidRDefault="007C4370" w:rsidP="00E06645"/>
    <w:p w14:paraId="09DB944D" w14:textId="3150F14F" w:rsidR="007C4370" w:rsidRDefault="007C4370" w:rsidP="00E06645">
      <w:r>
        <w:t xml:space="preserve">Of the seven techniques that were specifically included in the survey, SJSU 100W instructors in STEM disciplines include all seven in their classes. With only the Writing Across the Curriculum </w:t>
      </w:r>
      <w:r w:rsidRPr="00662DFE">
        <w:t xml:space="preserve">program offering support across disciplines, </w:t>
      </w:r>
      <w:r w:rsidR="00A60834" w:rsidRPr="00662DFE">
        <w:t xml:space="preserve">and no formal collaborative opportunities, </w:t>
      </w:r>
      <w:r w:rsidRPr="00662DFE">
        <w:t xml:space="preserve">these results show </w:t>
      </w:r>
      <w:r w:rsidR="00662DFE" w:rsidRPr="00662DFE">
        <w:t>some</w:t>
      </w:r>
      <w:r w:rsidRPr="00662DFE">
        <w:t xml:space="preserve"> adherence to </w:t>
      </w:r>
      <w:r w:rsidR="00A60834" w:rsidRPr="00662DFE">
        <w:t xml:space="preserve">current pedagogy and best practices by </w:t>
      </w:r>
      <w:r w:rsidR="00F03F59" w:rsidRPr="00662DFE">
        <w:t>respondent</w:t>
      </w:r>
      <w:r w:rsidR="00A60834" w:rsidRPr="00662DFE">
        <w:t xml:space="preserve"> faculty</w:t>
      </w:r>
      <w:r w:rsidR="009B49E3" w:rsidRPr="00662DFE">
        <w:t xml:space="preserve"> for those techniques surveyed. A</w:t>
      </w:r>
      <w:r w:rsidR="000A285C" w:rsidRPr="00662DFE">
        <w:t>n a</w:t>
      </w:r>
      <w:r w:rsidR="009B49E3" w:rsidRPr="00662DFE">
        <w:t>dditional survey</w:t>
      </w:r>
      <w:r w:rsidR="000A285C" w:rsidRPr="00662DFE">
        <w:t xml:space="preserve"> designed to solicit information from several instructors from writing-intensive upper-division courses within a single department would identify answers for other categories, and would provide a more comprehensive comparison of the various approaches to teaching writing within STEM departments at SJSU and those within</w:t>
      </w:r>
      <w:r w:rsidR="000A285C">
        <w:t xml:space="preserve"> the literature.</w:t>
      </w:r>
    </w:p>
    <w:p w14:paraId="17CF88DE" w14:textId="77777777" w:rsidR="00A60834" w:rsidRDefault="00A60834" w:rsidP="00E06645"/>
    <w:p w14:paraId="2F182B6C" w14:textId="4D46A56A" w:rsidR="00A60834" w:rsidRDefault="00A60834">
      <w:r>
        <w:br w:type="page"/>
      </w:r>
    </w:p>
    <w:p w14:paraId="2A44A72B" w14:textId="11C0BFA1" w:rsidR="00A60834" w:rsidRPr="00A60834" w:rsidRDefault="00A60834" w:rsidP="00B02AEC">
      <w:pPr>
        <w:ind w:left="-630" w:right="-450"/>
        <w:rPr>
          <w:sz w:val="20"/>
          <w:szCs w:val="20"/>
        </w:rPr>
      </w:pPr>
      <w:r w:rsidRPr="00A60834">
        <w:rPr>
          <w:sz w:val="20"/>
          <w:szCs w:val="20"/>
        </w:rPr>
        <w:lastRenderedPageBreak/>
        <w:t>Table 1. A comparison of techniques to improve student writing identified in the literature search to those employed by SJSU instructors as self-reported in March 2017 survey and via SJSU websites.</w:t>
      </w:r>
      <w:r w:rsidR="00B02AEC">
        <w:rPr>
          <w:sz w:val="20"/>
          <w:szCs w:val="20"/>
        </w:rPr>
        <w:t xml:space="preserve"> Not all teaching techniques apply to 100W instructors in STEM disciplines at SJSU (e.g., university-wide and department-wide techniques), therefore not all techniques were included in the survey. </w:t>
      </w:r>
    </w:p>
    <w:tbl>
      <w:tblPr>
        <w:tblStyle w:val="TableGrid"/>
        <w:tblW w:w="10440" w:type="dxa"/>
        <w:tblInd w:w="-635" w:type="dxa"/>
        <w:tblLook w:val="04A0" w:firstRow="1" w:lastRow="0" w:firstColumn="1" w:lastColumn="0" w:noHBand="0" w:noVBand="1"/>
      </w:tblPr>
      <w:tblGrid>
        <w:gridCol w:w="4399"/>
        <w:gridCol w:w="2624"/>
        <w:gridCol w:w="3417"/>
      </w:tblGrid>
      <w:tr w:rsidR="00B02AEC" w:rsidRPr="00B02AEC" w14:paraId="54264751" w14:textId="77777777" w:rsidTr="00B02AEC">
        <w:trPr>
          <w:trHeight w:val="449"/>
        </w:trPr>
        <w:tc>
          <w:tcPr>
            <w:tcW w:w="4399" w:type="dxa"/>
            <w:hideMark/>
          </w:tcPr>
          <w:p w14:paraId="2759A369" w14:textId="77777777" w:rsidR="00B02AEC" w:rsidRPr="00B02AEC" w:rsidRDefault="00B02AEC">
            <w:pPr>
              <w:rPr>
                <w:b/>
                <w:bCs/>
                <w:sz w:val="18"/>
                <w:szCs w:val="18"/>
              </w:rPr>
            </w:pPr>
            <w:r w:rsidRPr="00B02AEC">
              <w:rPr>
                <w:b/>
                <w:bCs/>
                <w:sz w:val="18"/>
                <w:szCs w:val="18"/>
              </w:rPr>
              <w:t>Techniques for Teaching Writing in STEM</w:t>
            </w:r>
          </w:p>
        </w:tc>
        <w:tc>
          <w:tcPr>
            <w:tcW w:w="2624" w:type="dxa"/>
            <w:hideMark/>
          </w:tcPr>
          <w:p w14:paraId="34DEB6A8" w14:textId="77777777" w:rsidR="00B02AEC" w:rsidRPr="00B02AEC" w:rsidRDefault="00B02AEC" w:rsidP="00B02AEC">
            <w:pPr>
              <w:rPr>
                <w:b/>
                <w:bCs/>
                <w:sz w:val="18"/>
                <w:szCs w:val="18"/>
              </w:rPr>
            </w:pPr>
            <w:r w:rsidRPr="00B02AEC">
              <w:rPr>
                <w:b/>
                <w:bCs/>
                <w:sz w:val="18"/>
                <w:szCs w:val="18"/>
              </w:rPr>
              <w:t>Included in Survey (Applicable to SJSU STEM 100W Instructors)</w:t>
            </w:r>
          </w:p>
        </w:tc>
        <w:tc>
          <w:tcPr>
            <w:tcW w:w="3417" w:type="dxa"/>
            <w:hideMark/>
          </w:tcPr>
          <w:p w14:paraId="5F1217C2" w14:textId="77777777" w:rsidR="00B02AEC" w:rsidRPr="00B02AEC" w:rsidRDefault="00B02AEC" w:rsidP="00B02AEC">
            <w:pPr>
              <w:rPr>
                <w:b/>
                <w:bCs/>
                <w:sz w:val="18"/>
                <w:szCs w:val="18"/>
              </w:rPr>
            </w:pPr>
            <w:r w:rsidRPr="00B02AEC">
              <w:rPr>
                <w:b/>
                <w:bCs/>
                <w:sz w:val="18"/>
                <w:szCs w:val="18"/>
              </w:rPr>
              <w:t>SJSU STEM 100W Writing  Instructors Report Utilizing</w:t>
            </w:r>
          </w:p>
        </w:tc>
      </w:tr>
      <w:tr w:rsidR="00B02AEC" w:rsidRPr="00B02AEC" w14:paraId="64E61ED3" w14:textId="77777777" w:rsidTr="00B02AEC">
        <w:trPr>
          <w:trHeight w:val="324"/>
        </w:trPr>
        <w:tc>
          <w:tcPr>
            <w:tcW w:w="4399" w:type="dxa"/>
            <w:hideMark/>
          </w:tcPr>
          <w:p w14:paraId="5B8AC019" w14:textId="77777777" w:rsidR="00B02AEC" w:rsidRPr="00B02AEC" w:rsidRDefault="00B02AEC">
            <w:pPr>
              <w:rPr>
                <w:b/>
                <w:bCs/>
                <w:sz w:val="18"/>
                <w:szCs w:val="18"/>
              </w:rPr>
            </w:pPr>
            <w:r w:rsidRPr="00B02AEC">
              <w:rPr>
                <w:b/>
                <w:bCs/>
                <w:sz w:val="18"/>
                <w:szCs w:val="18"/>
              </w:rPr>
              <w:t>University-Level Techniques</w:t>
            </w:r>
          </w:p>
        </w:tc>
        <w:tc>
          <w:tcPr>
            <w:tcW w:w="2624" w:type="dxa"/>
            <w:hideMark/>
          </w:tcPr>
          <w:p w14:paraId="74F85878" w14:textId="77777777" w:rsidR="00B02AEC" w:rsidRPr="00B02AEC" w:rsidRDefault="00B02AEC">
            <w:pPr>
              <w:rPr>
                <w:b/>
                <w:bCs/>
                <w:sz w:val="18"/>
                <w:szCs w:val="18"/>
              </w:rPr>
            </w:pPr>
          </w:p>
        </w:tc>
        <w:tc>
          <w:tcPr>
            <w:tcW w:w="3417" w:type="dxa"/>
            <w:hideMark/>
          </w:tcPr>
          <w:p w14:paraId="7666E82E" w14:textId="77777777" w:rsidR="00B02AEC" w:rsidRPr="00B02AEC" w:rsidRDefault="00B02AEC" w:rsidP="00B02AEC">
            <w:pPr>
              <w:rPr>
                <w:sz w:val="18"/>
                <w:szCs w:val="18"/>
              </w:rPr>
            </w:pPr>
          </w:p>
        </w:tc>
      </w:tr>
      <w:tr w:rsidR="00B02AEC" w:rsidRPr="00B02AEC" w14:paraId="43C5064F" w14:textId="77777777" w:rsidTr="00B02AEC">
        <w:trPr>
          <w:trHeight w:val="624"/>
        </w:trPr>
        <w:tc>
          <w:tcPr>
            <w:tcW w:w="4399" w:type="dxa"/>
            <w:hideMark/>
          </w:tcPr>
          <w:p w14:paraId="6B397711" w14:textId="77777777" w:rsidR="00B02AEC" w:rsidRPr="00B02AEC" w:rsidRDefault="00B02AEC">
            <w:pPr>
              <w:rPr>
                <w:sz w:val="18"/>
                <w:szCs w:val="18"/>
              </w:rPr>
            </w:pPr>
            <w:r w:rsidRPr="00B02AEC">
              <w:rPr>
                <w:sz w:val="18"/>
                <w:szCs w:val="18"/>
              </w:rPr>
              <w:t>Utilize alumni association to provide access to professionals in the field</w:t>
            </w:r>
          </w:p>
        </w:tc>
        <w:tc>
          <w:tcPr>
            <w:tcW w:w="2624" w:type="dxa"/>
            <w:hideMark/>
          </w:tcPr>
          <w:p w14:paraId="1699AF07" w14:textId="77777777" w:rsidR="00B02AEC" w:rsidRPr="00B02AEC" w:rsidRDefault="00B02AEC" w:rsidP="00B02AEC">
            <w:pPr>
              <w:rPr>
                <w:sz w:val="18"/>
                <w:szCs w:val="18"/>
              </w:rPr>
            </w:pPr>
            <w:r w:rsidRPr="00B02AEC">
              <w:rPr>
                <w:sz w:val="18"/>
                <w:szCs w:val="18"/>
              </w:rPr>
              <w:t>No</w:t>
            </w:r>
          </w:p>
        </w:tc>
        <w:tc>
          <w:tcPr>
            <w:tcW w:w="3417" w:type="dxa"/>
            <w:hideMark/>
          </w:tcPr>
          <w:p w14:paraId="20DC7018" w14:textId="77777777" w:rsidR="00B02AEC" w:rsidRPr="00B02AEC" w:rsidRDefault="00B02AEC" w:rsidP="00B02AEC">
            <w:pPr>
              <w:rPr>
                <w:sz w:val="18"/>
                <w:szCs w:val="18"/>
              </w:rPr>
            </w:pPr>
          </w:p>
        </w:tc>
      </w:tr>
      <w:tr w:rsidR="00B02AEC" w:rsidRPr="00B02AEC" w14:paraId="03AFE456" w14:textId="77777777" w:rsidTr="00B02AEC">
        <w:trPr>
          <w:trHeight w:val="458"/>
        </w:trPr>
        <w:tc>
          <w:tcPr>
            <w:tcW w:w="4399" w:type="dxa"/>
            <w:hideMark/>
          </w:tcPr>
          <w:p w14:paraId="788FEA60" w14:textId="77777777" w:rsidR="00B02AEC" w:rsidRPr="00B02AEC" w:rsidRDefault="00B02AEC">
            <w:pPr>
              <w:rPr>
                <w:sz w:val="18"/>
                <w:szCs w:val="18"/>
              </w:rPr>
            </w:pPr>
            <w:r w:rsidRPr="00B02AEC">
              <w:rPr>
                <w:sz w:val="18"/>
                <w:szCs w:val="18"/>
              </w:rPr>
              <w:t>Provide research opportunities for undergraduates for practical/experiential writing  (i.e., "Student Showcase)</w:t>
            </w:r>
          </w:p>
        </w:tc>
        <w:tc>
          <w:tcPr>
            <w:tcW w:w="2624" w:type="dxa"/>
            <w:hideMark/>
          </w:tcPr>
          <w:p w14:paraId="441F515F" w14:textId="77777777" w:rsidR="00B02AEC" w:rsidRPr="00B02AEC" w:rsidRDefault="00B02AEC" w:rsidP="00B02AEC">
            <w:pPr>
              <w:rPr>
                <w:sz w:val="18"/>
                <w:szCs w:val="18"/>
              </w:rPr>
            </w:pPr>
            <w:r w:rsidRPr="00B02AEC">
              <w:rPr>
                <w:sz w:val="18"/>
                <w:szCs w:val="18"/>
              </w:rPr>
              <w:t>No</w:t>
            </w:r>
          </w:p>
        </w:tc>
        <w:tc>
          <w:tcPr>
            <w:tcW w:w="3417" w:type="dxa"/>
            <w:hideMark/>
          </w:tcPr>
          <w:p w14:paraId="008183F4" w14:textId="77777777" w:rsidR="00B02AEC" w:rsidRPr="00B02AEC" w:rsidRDefault="00B02AEC" w:rsidP="00B02AEC">
            <w:pPr>
              <w:rPr>
                <w:sz w:val="18"/>
                <w:szCs w:val="18"/>
              </w:rPr>
            </w:pPr>
            <w:r w:rsidRPr="00B02AEC">
              <w:rPr>
                <w:sz w:val="18"/>
                <w:szCs w:val="18"/>
              </w:rPr>
              <w:t>Yes - SJSU College of Science Research Day (optional participation)</w:t>
            </w:r>
          </w:p>
        </w:tc>
      </w:tr>
      <w:tr w:rsidR="00B02AEC" w:rsidRPr="00B02AEC" w14:paraId="6E6B042F" w14:textId="77777777" w:rsidTr="00B02AEC">
        <w:trPr>
          <w:trHeight w:val="312"/>
        </w:trPr>
        <w:tc>
          <w:tcPr>
            <w:tcW w:w="4399" w:type="dxa"/>
            <w:hideMark/>
          </w:tcPr>
          <w:p w14:paraId="0DD76FAB" w14:textId="77777777" w:rsidR="00B02AEC" w:rsidRPr="00B02AEC" w:rsidRDefault="00B02AEC" w:rsidP="00B02AEC">
            <w:pPr>
              <w:rPr>
                <w:sz w:val="18"/>
                <w:szCs w:val="18"/>
              </w:rPr>
            </w:pPr>
          </w:p>
        </w:tc>
        <w:tc>
          <w:tcPr>
            <w:tcW w:w="2624" w:type="dxa"/>
            <w:hideMark/>
          </w:tcPr>
          <w:p w14:paraId="1CE3A97B" w14:textId="77777777" w:rsidR="00B02AEC" w:rsidRPr="00B02AEC" w:rsidRDefault="00B02AEC">
            <w:pPr>
              <w:rPr>
                <w:sz w:val="18"/>
                <w:szCs w:val="18"/>
              </w:rPr>
            </w:pPr>
          </w:p>
        </w:tc>
        <w:tc>
          <w:tcPr>
            <w:tcW w:w="3417" w:type="dxa"/>
            <w:hideMark/>
          </w:tcPr>
          <w:p w14:paraId="64E98A49" w14:textId="77777777" w:rsidR="00B02AEC" w:rsidRPr="00B02AEC" w:rsidRDefault="00B02AEC" w:rsidP="00B02AEC">
            <w:pPr>
              <w:rPr>
                <w:sz w:val="18"/>
                <w:szCs w:val="18"/>
              </w:rPr>
            </w:pPr>
          </w:p>
        </w:tc>
      </w:tr>
      <w:tr w:rsidR="00B02AEC" w:rsidRPr="00B02AEC" w14:paraId="6003D125" w14:textId="77777777" w:rsidTr="00B02AEC">
        <w:trPr>
          <w:trHeight w:val="312"/>
        </w:trPr>
        <w:tc>
          <w:tcPr>
            <w:tcW w:w="4399" w:type="dxa"/>
            <w:hideMark/>
          </w:tcPr>
          <w:p w14:paraId="1A8C6DF8" w14:textId="77777777" w:rsidR="00B02AEC" w:rsidRPr="00B02AEC" w:rsidRDefault="00B02AEC">
            <w:pPr>
              <w:rPr>
                <w:b/>
                <w:bCs/>
                <w:sz w:val="18"/>
                <w:szCs w:val="18"/>
              </w:rPr>
            </w:pPr>
            <w:r w:rsidRPr="00B02AEC">
              <w:rPr>
                <w:b/>
                <w:bCs/>
                <w:sz w:val="18"/>
                <w:szCs w:val="18"/>
              </w:rPr>
              <w:t>Department-Level Techniques</w:t>
            </w:r>
          </w:p>
        </w:tc>
        <w:tc>
          <w:tcPr>
            <w:tcW w:w="2624" w:type="dxa"/>
            <w:hideMark/>
          </w:tcPr>
          <w:p w14:paraId="18639658" w14:textId="77777777" w:rsidR="00B02AEC" w:rsidRPr="00B02AEC" w:rsidRDefault="00B02AEC">
            <w:pPr>
              <w:rPr>
                <w:b/>
                <w:bCs/>
                <w:sz w:val="18"/>
                <w:szCs w:val="18"/>
              </w:rPr>
            </w:pPr>
          </w:p>
        </w:tc>
        <w:tc>
          <w:tcPr>
            <w:tcW w:w="3417" w:type="dxa"/>
            <w:hideMark/>
          </w:tcPr>
          <w:p w14:paraId="3F8B59E1" w14:textId="77777777" w:rsidR="00B02AEC" w:rsidRPr="00B02AEC" w:rsidRDefault="00B02AEC" w:rsidP="00B02AEC">
            <w:pPr>
              <w:rPr>
                <w:sz w:val="18"/>
                <w:szCs w:val="18"/>
              </w:rPr>
            </w:pPr>
          </w:p>
        </w:tc>
      </w:tr>
      <w:tr w:rsidR="00B02AEC" w:rsidRPr="00B02AEC" w14:paraId="2A187DFF" w14:textId="77777777" w:rsidTr="00B02AEC">
        <w:trPr>
          <w:trHeight w:val="242"/>
        </w:trPr>
        <w:tc>
          <w:tcPr>
            <w:tcW w:w="4399" w:type="dxa"/>
            <w:hideMark/>
          </w:tcPr>
          <w:p w14:paraId="0D7B726E" w14:textId="77777777" w:rsidR="00B02AEC" w:rsidRPr="00B02AEC" w:rsidRDefault="00B02AEC">
            <w:pPr>
              <w:rPr>
                <w:sz w:val="18"/>
                <w:szCs w:val="18"/>
              </w:rPr>
            </w:pPr>
            <w:r w:rsidRPr="00B02AEC">
              <w:rPr>
                <w:sz w:val="18"/>
                <w:szCs w:val="18"/>
              </w:rPr>
              <w:t>Scaffolding writing skills amongst upper division classes</w:t>
            </w:r>
          </w:p>
        </w:tc>
        <w:tc>
          <w:tcPr>
            <w:tcW w:w="2624" w:type="dxa"/>
            <w:hideMark/>
          </w:tcPr>
          <w:p w14:paraId="53E18E59" w14:textId="77777777" w:rsidR="00B02AEC" w:rsidRPr="00B02AEC" w:rsidRDefault="00B02AEC" w:rsidP="00B02AEC">
            <w:pPr>
              <w:rPr>
                <w:sz w:val="18"/>
                <w:szCs w:val="18"/>
              </w:rPr>
            </w:pPr>
            <w:r w:rsidRPr="00B02AEC">
              <w:rPr>
                <w:sz w:val="18"/>
                <w:szCs w:val="18"/>
              </w:rPr>
              <w:t>No</w:t>
            </w:r>
          </w:p>
        </w:tc>
        <w:tc>
          <w:tcPr>
            <w:tcW w:w="3417" w:type="dxa"/>
            <w:hideMark/>
          </w:tcPr>
          <w:p w14:paraId="0F1EC281" w14:textId="77777777" w:rsidR="00B02AEC" w:rsidRPr="00B02AEC" w:rsidRDefault="00B02AEC" w:rsidP="00B02AEC">
            <w:pPr>
              <w:rPr>
                <w:sz w:val="18"/>
                <w:szCs w:val="18"/>
              </w:rPr>
            </w:pPr>
          </w:p>
        </w:tc>
      </w:tr>
      <w:tr w:rsidR="00B02AEC" w:rsidRPr="00B02AEC" w14:paraId="78B6ED78" w14:textId="77777777" w:rsidTr="00B02AEC">
        <w:trPr>
          <w:trHeight w:val="449"/>
        </w:trPr>
        <w:tc>
          <w:tcPr>
            <w:tcW w:w="4399" w:type="dxa"/>
            <w:hideMark/>
          </w:tcPr>
          <w:p w14:paraId="08A65CC8" w14:textId="77777777" w:rsidR="00B02AEC" w:rsidRPr="00B02AEC" w:rsidRDefault="00B02AEC">
            <w:pPr>
              <w:rPr>
                <w:sz w:val="18"/>
                <w:szCs w:val="18"/>
              </w:rPr>
            </w:pPr>
            <w:r w:rsidRPr="00B02AEC">
              <w:rPr>
                <w:sz w:val="18"/>
                <w:szCs w:val="18"/>
              </w:rPr>
              <w:t>Use of heirarchy of faculty and TAs for teaching and grading writing</w:t>
            </w:r>
          </w:p>
        </w:tc>
        <w:tc>
          <w:tcPr>
            <w:tcW w:w="2624" w:type="dxa"/>
            <w:hideMark/>
          </w:tcPr>
          <w:p w14:paraId="71422085" w14:textId="77777777" w:rsidR="00B02AEC" w:rsidRPr="00B02AEC" w:rsidRDefault="00B02AEC" w:rsidP="00B02AEC">
            <w:pPr>
              <w:rPr>
                <w:sz w:val="18"/>
                <w:szCs w:val="18"/>
              </w:rPr>
            </w:pPr>
            <w:r w:rsidRPr="00B02AEC">
              <w:rPr>
                <w:sz w:val="18"/>
                <w:szCs w:val="18"/>
              </w:rPr>
              <w:t>No</w:t>
            </w:r>
          </w:p>
        </w:tc>
        <w:tc>
          <w:tcPr>
            <w:tcW w:w="3417" w:type="dxa"/>
            <w:hideMark/>
          </w:tcPr>
          <w:p w14:paraId="10E6938B" w14:textId="77777777" w:rsidR="00B02AEC" w:rsidRPr="00B02AEC" w:rsidRDefault="00B02AEC" w:rsidP="00B02AEC">
            <w:pPr>
              <w:rPr>
                <w:sz w:val="18"/>
                <w:szCs w:val="18"/>
              </w:rPr>
            </w:pPr>
          </w:p>
        </w:tc>
      </w:tr>
      <w:tr w:rsidR="00B02AEC" w:rsidRPr="00B02AEC" w14:paraId="536F9762" w14:textId="77777777" w:rsidTr="00B02AEC">
        <w:trPr>
          <w:trHeight w:val="440"/>
        </w:trPr>
        <w:tc>
          <w:tcPr>
            <w:tcW w:w="4399" w:type="dxa"/>
            <w:hideMark/>
          </w:tcPr>
          <w:p w14:paraId="1CC11AB8" w14:textId="77777777" w:rsidR="00B02AEC" w:rsidRPr="00B02AEC" w:rsidRDefault="00B02AEC">
            <w:pPr>
              <w:rPr>
                <w:sz w:val="18"/>
                <w:szCs w:val="18"/>
              </w:rPr>
            </w:pPr>
            <w:r w:rsidRPr="00B02AEC">
              <w:rPr>
                <w:sz w:val="18"/>
                <w:szCs w:val="18"/>
              </w:rPr>
              <w:t>Use of student portfolios and/or writing comparisons of 1st year and graduating seniors</w:t>
            </w:r>
          </w:p>
        </w:tc>
        <w:tc>
          <w:tcPr>
            <w:tcW w:w="2624" w:type="dxa"/>
            <w:hideMark/>
          </w:tcPr>
          <w:p w14:paraId="372ABDB7" w14:textId="77777777" w:rsidR="00B02AEC" w:rsidRPr="00B02AEC" w:rsidRDefault="00B02AEC" w:rsidP="00B02AEC">
            <w:pPr>
              <w:rPr>
                <w:sz w:val="18"/>
                <w:szCs w:val="18"/>
              </w:rPr>
            </w:pPr>
            <w:r w:rsidRPr="00B02AEC">
              <w:rPr>
                <w:sz w:val="18"/>
                <w:szCs w:val="18"/>
              </w:rPr>
              <w:t>No</w:t>
            </w:r>
          </w:p>
        </w:tc>
        <w:tc>
          <w:tcPr>
            <w:tcW w:w="3417" w:type="dxa"/>
            <w:hideMark/>
          </w:tcPr>
          <w:p w14:paraId="7DBCEA25" w14:textId="77777777" w:rsidR="00B02AEC" w:rsidRPr="00B02AEC" w:rsidRDefault="00B02AEC" w:rsidP="00B02AEC">
            <w:pPr>
              <w:rPr>
                <w:sz w:val="18"/>
                <w:szCs w:val="18"/>
              </w:rPr>
            </w:pPr>
          </w:p>
        </w:tc>
      </w:tr>
      <w:tr w:rsidR="00B02AEC" w:rsidRPr="00B02AEC" w14:paraId="007E0395" w14:textId="77777777" w:rsidTr="00B02AEC">
        <w:trPr>
          <w:trHeight w:val="312"/>
        </w:trPr>
        <w:tc>
          <w:tcPr>
            <w:tcW w:w="4399" w:type="dxa"/>
            <w:hideMark/>
          </w:tcPr>
          <w:p w14:paraId="7B0F73DF" w14:textId="77777777" w:rsidR="00B02AEC" w:rsidRPr="00B02AEC" w:rsidRDefault="00B02AEC" w:rsidP="00B02AEC">
            <w:pPr>
              <w:rPr>
                <w:sz w:val="18"/>
                <w:szCs w:val="18"/>
              </w:rPr>
            </w:pPr>
          </w:p>
        </w:tc>
        <w:tc>
          <w:tcPr>
            <w:tcW w:w="2624" w:type="dxa"/>
            <w:hideMark/>
          </w:tcPr>
          <w:p w14:paraId="1ADD3A16" w14:textId="77777777" w:rsidR="00B02AEC" w:rsidRPr="00B02AEC" w:rsidRDefault="00B02AEC">
            <w:pPr>
              <w:rPr>
                <w:sz w:val="18"/>
                <w:szCs w:val="18"/>
              </w:rPr>
            </w:pPr>
          </w:p>
        </w:tc>
        <w:tc>
          <w:tcPr>
            <w:tcW w:w="3417" w:type="dxa"/>
            <w:hideMark/>
          </w:tcPr>
          <w:p w14:paraId="340A0C13" w14:textId="77777777" w:rsidR="00B02AEC" w:rsidRPr="00B02AEC" w:rsidRDefault="00B02AEC" w:rsidP="00B02AEC">
            <w:pPr>
              <w:rPr>
                <w:sz w:val="18"/>
                <w:szCs w:val="18"/>
              </w:rPr>
            </w:pPr>
          </w:p>
        </w:tc>
      </w:tr>
      <w:tr w:rsidR="00B02AEC" w:rsidRPr="00B02AEC" w14:paraId="6C0A1BEB" w14:textId="77777777" w:rsidTr="00B02AEC">
        <w:trPr>
          <w:trHeight w:val="312"/>
        </w:trPr>
        <w:tc>
          <w:tcPr>
            <w:tcW w:w="4399" w:type="dxa"/>
            <w:hideMark/>
          </w:tcPr>
          <w:p w14:paraId="7D5C13F6" w14:textId="77777777" w:rsidR="00B02AEC" w:rsidRPr="00B02AEC" w:rsidRDefault="00B02AEC">
            <w:pPr>
              <w:rPr>
                <w:b/>
                <w:bCs/>
                <w:sz w:val="18"/>
                <w:szCs w:val="18"/>
              </w:rPr>
            </w:pPr>
            <w:r w:rsidRPr="00B02AEC">
              <w:rPr>
                <w:b/>
                <w:bCs/>
                <w:sz w:val="18"/>
                <w:szCs w:val="18"/>
              </w:rPr>
              <w:t>Class-Level Techniques</w:t>
            </w:r>
          </w:p>
        </w:tc>
        <w:tc>
          <w:tcPr>
            <w:tcW w:w="2624" w:type="dxa"/>
            <w:hideMark/>
          </w:tcPr>
          <w:p w14:paraId="5076C458" w14:textId="77777777" w:rsidR="00B02AEC" w:rsidRPr="00B02AEC" w:rsidRDefault="00B02AEC">
            <w:pPr>
              <w:rPr>
                <w:b/>
                <w:bCs/>
                <w:sz w:val="18"/>
                <w:szCs w:val="18"/>
              </w:rPr>
            </w:pPr>
          </w:p>
        </w:tc>
        <w:tc>
          <w:tcPr>
            <w:tcW w:w="3417" w:type="dxa"/>
            <w:hideMark/>
          </w:tcPr>
          <w:p w14:paraId="775752A3" w14:textId="77777777" w:rsidR="00B02AEC" w:rsidRPr="00B02AEC" w:rsidRDefault="00B02AEC" w:rsidP="00B02AEC">
            <w:pPr>
              <w:rPr>
                <w:sz w:val="18"/>
                <w:szCs w:val="18"/>
              </w:rPr>
            </w:pPr>
          </w:p>
        </w:tc>
      </w:tr>
      <w:tr w:rsidR="00B02AEC" w:rsidRPr="00B02AEC" w14:paraId="09894387" w14:textId="77777777" w:rsidTr="00B02AEC">
        <w:trPr>
          <w:trHeight w:val="242"/>
        </w:trPr>
        <w:tc>
          <w:tcPr>
            <w:tcW w:w="4399" w:type="dxa"/>
            <w:hideMark/>
          </w:tcPr>
          <w:p w14:paraId="5ADDE501" w14:textId="77777777" w:rsidR="00B02AEC" w:rsidRPr="00B02AEC" w:rsidRDefault="00B02AEC">
            <w:pPr>
              <w:rPr>
                <w:sz w:val="18"/>
                <w:szCs w:val="18"/>
              </w:rPr>
            </w:pPr>
            <w:r w:rsidRPr="00B02AEC">
              <w:rPr>
                <w:sz w:val="18"/>
                <w:szCs w:val="18"/>
              </w:rPr>
              <w:t>Students self-identify their writing issues/shorcomings</w:t>
            </w:r>
          </w:p>
        </w:tc>
        <w:tc>
          <w:tcPr>
            <w:tcW w:w="2624" w:type="dxa"/>
            <w:hideMark/>
          </w:tcPr>
          <w:p w14:paraId="0DA74117" w14:textId="77777777" w:rsidR="00B02AEC" w:rsidRPr="00B02AEC" w:rsidRDefault="00B02AEC" w:rsidP="00B02AEC">
            <w:pPr>
              <w:rPr>
                <w:sz w:val="18"/>
                <w:szCs w:val="18"/>
              </w:rPr>
            </w:pPr>
            <w:r w:rsidRPr="00B02AEC">
              <w:rPr>
                <w:sz w:val="18"/>
                <w:szCs w:val="18"/>
              </w:rPr>
              <w:t>No</w:t>
            </w:r>
          </w:p>
        </w:tc>
        <w:tc>
          <w:tcPr>
            <w:tcW w:w="3417" w:type="dxa"/>
            <w:hideMark/>
          </w:tcPr>
          <w:p w14:paraId="6478CE25" w14:textId="77777777" w:rsidR="00B02AEC" w:rsidRPr="00B02AEC" w:rsidRDefault="00B02AEC" w:rsidP="00B02AEC">
            <w:pPr>
              <w:rPr>
                <w:sz w:val="18"/>
                <w:szCs w:val="18"/>
              </w:rPr>
            </w:pPr>
          </w:p>
        </w:tc>
      </w:tr>
      <w:tr w:rsidR="00B02AEC" w:rsidRPr="00B02AEC" w14:paraId="465716F0" w14:textId="77777777" w:rsidTr="00B02AEC">
        <w:trPr>
          <w:trHeight w:val="269"/>
        </w:trPr>
        <w:tc>
          <w:tcPr>
            <w:tcW w:w="4399" w:type="dxa"/>
            <w:hideMark/>
          </w:tcPr>
          <w:p w14:paraId="71F03C99" w14:textId="77777777" w:rsidR="00B02AEC" w:rsidRPr="00B02AEC" w:rsidRDefault="00B02AEC">
            <w:pPr>
              <w:rPr>
                <w:sz w:val="18"/>
                <w:szCs w:val="18"/>
              </w:rPr>
            </w:pPr>
            <w:r w:rsidRPr="00B02AEC">
              <w:rPr>
                <w:sz w:val="18"/>
                <w:szCs w:val="18"/>
              </w:rPr>
              <w:t>Use of a process log to learn writing process</w:t>
            </w:r>
          </w:p>
        </w:tc>
        <w:tc>
          <w:tcPr>
            <w:tcW w:w="2624" w:type="dxa"/>
            <w:hideMark/>
          </w:tcPr>
          <w:p w14:paraId="2851C061" w14:textId="77777777" w:rsidR="00B02AEC" w:rsidRPr="00B02AEC" w:rsidRDefault="00B02AEC" w:rsidP="00B02AEC">
            <w:pPr>
              <w:rPr>
                <w:sz w:val="18"/>
                <w:szCs w:val="18"/>
              </w:rPr>
            </w:pPr>
            <w:r w:rsidRPr="00B02AEC">
              <w:rPr>
                <w:sz w:val="18"/>
                <w:szCs w:val="18"/>
              </w:rPr>
              <w:t>No</w:t>
            </w:r>
          </w:p>
        </w:tc>
        <w:tc>
          <w:tcPr>
            <w:tcW w:w="3417" w:type="dxa"/>
            <w:hideMark/>
          </w:tcPr>
          <w:p w14:paraId="634E1A62" w14:textId="77777777" w:rsidR="00B02AEC" w:rsidRPr="00B02AEC" w:rsidRDefault="00B02AEC" w:rsidP="00B02AEC">
            <w:pPr>
              <w:rPr>
                <w:sz w:val="18"/>
                <w:szCs w:val="18"/>
              </w:rPr>
            </w:pPr>
          </w:p>
        </w:tc>
      </w:tr>
      <w:tr w:rsidR="00B02AEC" w:rsidRPr="00B02AEC" w14:paraId="4BB6CD5F" w14:textId="77777777" w:rsidTr="00B02AEC">
        <w:trPr>
          <w:trHeight w:val="251"/>
        </w:trPr>
        <w:tc>
          <w:tcPr>
            <w:tcW w:w="4399" w:type="dxa"/>
            <w:hideMark/>
          </w:tcPr>
          <w:p w14:paraId="1617E043" w14:textId="77777777" w:rsidR="00B02AEC" w:rsidRPr="00B02AEC" w:rsidRDefault="00B02AEC">
            <w:pPr>
              <w:rPr>
                <w:sz w:val="18"/>
                <w:szCs w:val="18"/>
              </w:rPr>
            </w:pPr>
            <w:r w:rsidRPr="00B02AEC">
              <w:rPr>
                <w:sz w:val="18"/>
                <w:szCs w:val="18"/>
              </w:rPr>
              <w:t>Clarify the purpose of the writing assignments</w:t>
            </w:r>
          </w:p>
        </w:tc>
        <w:tc>
          <w:tcPr>
            <w:tcW w:w="2624" w:type="dxa"/>
            <w:hideMark/>
          </w:tcPr>
          <w:p w14:paraId="2D033379" w14:textId="77777777" w:rsidR="00B02AEC" w:rsidRPr="00B02AEC" w:rsidRDefault="00B02AEC" w:rsidP="00B02AEC">
            <w:pPr>
              <w:rPr>
                <w:sz w:val="18"/>
                <w:szCs w:val="18"/>
              </w:rPr>
            </w:pPr>
            <w:r w:rsidRPr="00B02AEC">
              <w:rPr>
                <w:sz w:val="18"/>
                <w:szCs w:val="18"/>
              </w:rPr>
              <w:t>Yes</w:t>
            </w:r>
          </w:p>
        </w:tc>
        <w:tc>
          <w:tcPr>
            <w:tcW w:w="3417" w:type="dxa"/>
            <w:hideMark/>
          </w:tcPr>
          <w:p w14:paraId="6EDA6738" w14:textId="77777777" w:rsidR="00B02AEC" w:rsidRPr="00B02AEC" w:rsidRDefault="00B02AEC" w:rsidP="00B02AEC">
            <w:pPr>
              <w:rPr>
                <w:sz w:val="18"/>
                <w:szCs w:val="18"/>
              </w:rPr>
            </w:pPr>
            <w:r w:rsidRPr="00B02AEC">
              <w:rPr>
                <w:sz w:val="18"/>
                <w:szCs w:val="18"/>
              </w:rPr>
              <w:t xml:space="preserve">Yes  </w:t>
            </w:r>
          </w:p>
        </w:tc>
      </w:tr>
      <w:tr w:rsidR="00B02AEC" w:rsidRPr="00B02AEC" w14:paraId="1BF54EB4" w14:textId="77777777" w:rsidTr="00B02AEC">
        <w:trPr>
          <w:trHeight w:val="260"/>
        </w:trPr>
        <w:tc>
          <w:tcPr>
            <w:tcW w:w="4399" w:type="dxa"/>
            <w:hideMark/>
          </w:tcPr>
          <w:p w14:paraId="3EF1A36F" w14:textId="77777777" w:rsidR="00B02AEC" w:rsidRPr="00B02AEC" w:rsidRDefault="00B02AEC">
            <w:pPr>
              <w:rPr>
                <w:sz w:val="18"/>
                <w:szCs w:val="18"/>
              </w:rPr>
            </w:pPr>
            <w:r w:rsidRPr="00B02AEC">
              <w:rPr>
                <w:sz w:val="18"/>
                <w:szCs w:val="18"/>
              </w:rPr>
              <w:t>Instructors provide substantial feedback to early drafts</w:t>
            </w:r>
          </w:p>
        </w:tc>
        <w:tc>
          <w:tcPr>
            <w:tcW w:w="2624" w:type="dxa"/>
            <w:hideMark/>
          </w:tcPr>
          <w:p w14:paraId="57179EB5" w14:textId="77777777" w:rsidR="00B02AEC" w:rsidRPr="00B02AEC" w:rsidRDefault="00B02AEC" w:rsidP="00B02AEC">
            <w:pPr>
              <w:rPr>
                <w:sz w:val="18"/>
                <w:szCs w:val="18"/>
              </w:rPr>
            </w:pPr>
            <w:r w:rsidRPr="00B02AEC">
              <w:rPr>
                <w:sz w:val="18"/>
                <w:szCs w:val="18"/>
              </w:rPr>
              <w:t>Yes</w:t>
            </w:r>
          </w:p>
        </w:tc>
        <w:tc>
          <w:tcPr>
            <w:tcW w:w="3417" w:type="dxa"/>
            <w:hideMark/>
          </w:tcPr>
          <w:p w14:paraId="4030673C" w14:textId="77777777" w:rsidR="00B02AEC" w:rsidRPr="00B02AEC" w:rsidRDefault="00B02AEC" w:rsidP="00B02AEC">
            <w:pPr>
              <w:rPr>
                <w:sz w:val="18"/>
                <w:szCs w:val="18"/>
              </w:rPr>
            </w:pPr>
            <w:r w:rsidRPr="00B02AEC">
              <w:rPr>
                <w:sz w:val="18"/>
                <w:szCs w:val="18"/>
              </w:rPr>
              <w:t xml:space="preserve">Yes  </w:t>
            </w:r>
          </w:p>
        </w:tc>
      </w:tr>
      <w:tr w:rsidR="00B02AEC" w:rsidRPr="00B02AEC" w14:paraId="3A66BD2E" w14:textId="77777777" w:rsidTr="00B02AEC">
        <w:trPr>
          <w:trHeight w:val="440"/>
        </w:trPr>
        <w:tc>
          <w:tcPr>
            <w:tcW w:w="4399" w:type="dxa"/>
            <w:hideMark/>
          </w:tcPr>
          <w:p w14:paraId="2CD90411" w14:textId="77777777" w:rsidR="00B02AEC" w:rsidRPr="00B02AEC" w:rsidRDefault="00B02AEC">
            <w:pPr>
              <w:rPr>
                <w:sz w:val="18"/>
                <w:szCs w:val="18"/>
              </w:rPr>
            </w:pPr>
            <w:r w:rsidRPr="00B02AEC">
              <w:rPr>
                <w:sz w:val="18"/>
                <w:szCs w:val="18"/>
              </w:rPr>
              <w:t>Multiple revisions of documents to provide a chance to respond to feedback</w:t>
            </w:r>
          </w:p>
        </w:tc>
        <w:tc>
          <w:tcPr>
            <w:tcW w:w="2624" w:type="dxa"/>
            <w:hideMark/>
          </w:tcPr>
          <w:p w14:paraId="1C7DCE41" w14:textId="77777777" w:rsidR="00B02AEC" w:rsidRPr="00B02AEC" w:rsidRDefault="00B02AEC" w:rsidP="00B02AEC">
            <w:pPr>
              <w:rPr>
                <w:sz w:val="18"/>
                <w:szCs w:val="18"/>
              </w:rPr>
            </w:pPr>
            <w:r w:rsidRPr="00B02AEC">
              <w:rPr>
                <w:sz w:val="18"/>
                <w:szCs w:val="18"/>
              </w:rPr>
              <w:t>Yes</w:t>
            </w:r>
          </w:p>
        </w:tc>
        <w:tc>
          <w:tcPr>
            <w:tcW w:w="3417" w:type="dxa"/>
            <w:hideMark/>
          </w:tcPr>
          <w:p w14:paraId="215E516E" w14:textId="77777777" w:rsidR="00B02AEC" w:rsidRPr="00B02AEC" w:rsidRDefault="00B02AEC" w:rsidP="00B02AEC">
            <w:pPr>
              <w:rPr>
                <w:sz w:val="18"/>
                <w:szCs w:val="18"/>
              </w:rPr>
            </w:pPr>
            <w:r w:rsidRPr="00B02AEC">
              <w:rPr>
                <w:sz w:val="18"/>
                <w:szCs w:val="18"/>
              </w:rPr>
              <w:t xml:space="preserve">Yes  </w:t>
            </w:r>
          </w:p>
        </w:tc>
      </w:tr>
      <w:tr w:rsidR="00B02AEC" w:rsidRPr="00B02AEC" w14:paraId="2D9ABA63" w14:textId="77777777" w:rsidTr="00B02AEC">
        <w:trPr>
          <w:trHeight w:val="260"/>
        </w:trPr>
        <w:tc>
          <w:tcPr>
            <w:tcW w:w="4399" w:type="dxa"/>
            <w:hideMark/>
          </w:tcPr>
          <w:p w14:paraId="12746DD9" w14:textId="77777777" w:rsidR="00B02AEC" w:rsidRPr="00B02AEC" w:rsidRDefault="00B02AEC">
            <w:pPr>
              <w:rPr>
                <w:sz w:val="18"/>
                <w:szCs w:val="18"/>
              </w:rPr>
            </w:pPr>
            <w:r w:rsidRPr="00B02AEC">
              <w:rPr>
                <w:sz w:val="18"/>
                <w:szCs w:val="18"/>
              </w:rPr>
              <w:t>Use of software to learn grammar or other writing skills</w:t>
            </w:r>
          </w:p>
        </w:tc>
        <w:tc>
          <w:tcPr>
            <w:tcW w:w="2624" w:type="dxa"/>
            <w:hideMark/>
          </w:tcPr>
          <w:p w14:paraId="17A6D309" w14:textId="77777777" w:rsidR="00B02AEC" w:rsidRPr="00B02AEC" w:rsidRDefault="00B02AEC" w:rsidP="00B02AEC">
            <w:pPr>
              <w:rPr>
                <w:sz w:val="18"/>
                <w:szCs w:val="18"/>
              </w:rPr>
            </w:pPr>
            <w:r w:rsidRPr="00B02AEC">
              <w:rPr>
                <w:sz w:val="18"/>
                <w:szCs w:val="18"/>
              </w:rPr>
              <w:t>No</w:t>
            </w:r>
          </w:p>
        </w:tc>
        <w:tc>
          <w:tcPr>
            <w:tcW w:w="3417" w:type="dxa"/>
            <w:hideMark/>
          </w:tcPr>
          <w:p w14:paraId="75FAB265" w14:textId="77777777" w:rsidR="00B02AEC" w:rsidRPr="00B02AEC" w:rsidRDefault="00B02AEC" w:rsidP="00B02AEC">
            <w:pPr>
              <w:rPr>
                <w:sz w:val="18"/>
                <w:szCs w:val="18"/>
              </w:rPr>
            </w:pPr>
          </w:p>
        </w:tc>
      </w:tr>
      <w:tr w:rsidR="00B02AEC" w:rsidRPr="00B02AEC" w14:paraId="4615EC83" w14:textId="77777777" w:rsidTr="00B02AEC">
        <w:trPr>
          <w:trHeight w:val="260"/>
        </w:trPr>
        <w:tc>
          <w:tcPr>
            <w:tcW w:w="4399" w:type="dxa"/>
            <w:hideMark/>
          </w:tcPr>
          <w:p w14:paraId="23ED3ECF" w14:textId="77777777" w:rsidR="00B02AEC" w:rsidRPr="00B02AEC" w:rsidRDefault="00B02AEC">
            <w:pPr>
              <w:rPr>
                <w:sz w:val="18"/>
                <w:szCs w:val="18"/>
              </w:rPr>
            </w:pPr>
            <w:r w:rsidRPr="00B02AEC">
              <w:rPr>
                <w:sz w:val="18"/>
                <w:szCs w:val="18"/>
              </w:rPr>
              <w:t xml:space="preserve">Integrating teaching of writing and content </w:t>
            </w:r>
          </w:p>
        </w:tc>
        <w:tc>
          <w:tcPr>
            <w:tcW w:w="2624" w:type="dxa"/>
            <w:hideMark/>
          </w:tcPr>
          <w:p w14:paraId="5F8F52AE" w14:textId="77777777" w:rsidR="00B02AEC" w:rsidRPr="00B02AEC" w:rsidRDefault="00B02AEC" w:rsidP="00B02AEC">
            <w:pPr>
              <w:rPr>
                <w:sz w:val="18"/>
                <w:szCs w:val="18"/>
              </w:rPr>
            </w:pPr>
            <w:r w:rsidRPr="00B02AEC">
              <w:rPr>
                <w:sz w:val="18"/>
                <w:szCs w:val="18"/>
              </w:rPr>
              <w:t>No</w:t>
            </w:r>
          </w:p>
        </w:tc>
        <w:tc>
          <w:tcPr>
            <w:tcW w:w="3417" w:type="dxa"/>
            <w:hideMark/>
          </w:tcPr>
          <w:p w14:paraId="1863C1FE" w14:textId="77777777" w:rsidR="00B02AEC" w:rsidRPr="00B02AEC" w:rsidRDefault="00B02AEC" w:rsidP="00B02AEC">
            <w:pPr>
              <w:rPr>
                <w:sz w:val="18"/>
                <w:szCs w:val="18"/>
              </w:rPr>
            </w:pPr>
          </w:p>
        </w:tc>
      </w:tr>
      <w:tr w:rsidR="00B02AEC" w:rsidRPr="00B02AEC" w14:paraId="2E422062" w14:textId="77777777" w:rsidTr="00B02AEC">
        <w:trPr>
          <w:trHeight w:val="269"/>
        </w:trPr>
        <w:tc>
          <w:tcPr>
            <w:tcW w:w="4399" w:type="dxa"/>
            <w:hideMark/>
          </w:tcPr>
          <w:p w14:paraId="521F431E" w14:textId="77777777" w:rsidR="00B02AEC" w:rsidRPr="00B02AEC" w:rsidRDefault="00B02AEC">
            <w:pPr>
              <w:rPr>
                <w:sz w:val="18"/>
                <w:szCs w:val="18"/>
              </w:rPr>
            </w:pPr>
            <w:r w:rsidRPr="00B02AEC">
              <w:rPr>
                <w:sz w:val="18"/>
                <w:szCs w:val="18"/>
              </w:rPr>
              <w:t>Read examples of professional writing</w:t>
            </w:r>
          </w:p>
        </w:tc>
        <w:tc>
          <w:tcPr>
            <w:tcW w:w="2624" w:type="dxa"/>
            <w:hideMark/>
          </w:tcPr>
          <w:p w14:paraId="145EB476" w14:textId="77777777" w:rsidR="00B02AEC" w:rsidRPr="00B02AEC" w:rsidRDefault="00B02AEC" w:rsidP="00B02AEC">
            <w:pPr>
              <w:rPr>
                <w:sz w:val="18"/>
                <w:szCs w:val="18"/>
              </w:rPr>
            </w:pPr>
            <w:r w:rsidRPr="00B02AEC">
              <w:rPr>
                <w:sz w:val="18"/>
                <w:szCs w:val="18"/>
              </w:rPr>
              <w:t>Yes</w:t>
            </w:r>
          </w:p>
        </w:tc>
        <w:tc>
          <w:tcPr>
            <w:tcW w:w="3417" w:type="dxa"/>
            <w:hideMark/>
          </w:tcPr>
          <w:p w14:paraId="103DCF30" w14:textId="77777777" w:rsidR="00B02AEC" w:rsidRPr="00B02AEC" w:rsidRDefault="00B02AEC" w:rsidP="00B02AEC">
            <w:pPr>
              <w:rPr>
                <w:sz w:val="18"/>
                <w:szCs w:val="18"/>
              </w:rPr>
            </w:pPr>
            <w:r w:rsidRPr="00B02AEC">
              <w:rPr>
                <w:sz w:val="18"/>
                <w:szCs w:val="18"/>
              </w:rPr>
              <w:t xml:space="preserve">Yes  </w:t>
            </w:r>
          </w:p>
        </w:tc>
      </w:tr>
      <w:tr w:rsidR="00B02AEC" w:rsidRPr="00B02AEC" w14:paraId="4B280B6F" w14:textId="77777777" w:rsidTr="00B02AEC">
        <w:trPr>
          <w:trHeight w:val="251"/>
        </w:trPr>
        <w:tc>
          <w:tcPr>
            <w:tcW w:w="4399" w:type="dxa"/>
            <w:hideMark/>
          </w:tcPr>
          <w:p w14:paraId="39E10F11" w14:textId="77777777" w:rsidR="00B02AEC" w:rsidRPr="00B02AEC" w:rsidRDefault="00B02AEC">
            <w:pPr>
              <w:rPr>
                <w:sz w:val="18"/>
                <w:szCs w:val="18"/>
              </w:rPr>
            </w:pPr>
            <w:r w:rsidRPr="00B02AEC">
              <w:rPr>
                <w:sz w:val="18"/>
                <w:szCs w:val="18"/>
              </w:rPr>
              <w:t>Use language-based approach</w:t>
            </w:r>
          </w:p>
        </w:tc>
        <w:tc>
          <w:tcPr>
            <w:tcW w:w="2624" w:type="dxa"/>
            <w:hideMark/>
          </w:tcPr>
          <w:p w14:paraId="0A0BD340" w14:textId="77777777" w:rsidR="00B02AEC" w:rsidRPr="00B02AEC" w:rsidRDefault="00B02AEC" w:rsidP="00B02AEC">
            <w:pPr>
              <w:rPr>
                <w:sz w:val="18"/>
                <w:szCs w:val="18"/>
              </w:rPr>
            </w:pPr>
            <w:r w:rsidRPr="00B02AEC">
              <w:rPr>
                <w:sz w:val="18"/>
                <w:szCs w:val="18"/>
              </w:rPr>
              <w:t>No</w:t>
            </w:r>
          </w:p>
        </w:tc>
        <w:tc>
          <w:tcPr>
            <w:tcW w:w="3417" w:type="dxa"/>
            <w:hideMark/>
          </w:tcPr>
          <w:p w14:paraId="02B3EA16" w14:textId="77777777" w:rsidR="00B02AEC" w:rsidRPr="00B02AEC" w:rsidRDefault="00B02AEC" w:rsidP="00B02AEC">
            <w:pPr>
              <w:rPr>
                <w:sz w:val="18"/>
                <w:szCs w:val="18"/>
              </w:rPr>
            </w:pPr>
            <w:r w:rsidRPr="00B02AEC">
              <w:rPr>
                <w:sz w:val="18"/>
                <w:szCs w:val="18"/>
              </w:rPr>
              <w:t>Yes- Instructor volunteered information</w:t>
            </w:r>
          </w:p>
        </w:tc>
      </w:tr>
      <w:tr w:rsidR="00B02AEC" w:rsidRPr="00B02AEC" w14:paraId="6F95AA2D" w14:textId="77777777" w:rsidTr="00B02AEC">
        <w:trPr>
          <w:trHeight w:val="458"/>
        </w:trPr>
        <w:tc>
          <w:tcPr>
            <w:tcW w:w="4399" w:type="dxa"/>
            <w:hideMark/>
          </w:tcPr>
          <w:p w14:paraId="5A4B7911" w14:textId="77777777" w:rsidR="00B02AEC" w:rsidRPr="00B02AEC" w:rsidRDefault="00B02AEC">
            <w:pPr>
              <w:rPr>
                <w:sz w:val="18"/>
                <w:szCs w:val="18"/>
              </w:rPr>
            </w:pPr>
            <w:r w:rsidRPr="00B02AEC">
              <w:rPr>
                <w:sz w:val="18"/>
                <w:szCs w:val="18"/>
              </w:rPr>
              <w:t>Use experiential/research based activities to teach genre-specific writing with purpose</w:t>
            </w:r>
          </w:p>
        </w:tc>
        <w:tc>
          <w:tcPr>
            <w:tcW w:w="2624" w:type="dxa"/>
            <w:hideMark/>
          </w:tcPr>
          <w:p w14:paraId="1C70668E" w14:textId="77777777" w:rsidR="00B02AEC" w:rsidRPr="00B02AEC" w:rsidRDefault="00B02AEC" w:rsidP="00B02AEC">
            <w:pPr>
              <w:rPr>
                <w:sz w:val="18"/>
                <w:szCs w:val="18"/>
              </w:rPr>
            </w:pPr>
            <w:r w:rsidRPr="00B02AEC">
              <w:rPr>
                <w:sz w:val="18"/>
                <w:szCs w:val="18"/>
              </w:rPr>
              <w:t>No</w:t>
            </w:r>
          </w:p>
        </w:tc>
        <w:tc>
          <w:tcPr>
            <w:tcW w:w="3417" w:type="dxa"/>
            <w:hideMark/>
          </w:tcPr>
          <w:p w14:paraId="1F1B2636" w14:textId="77777777" w:rsidR="00B02AEC" w:rsidRPr="00B02AEC" w:rsidRDefault="00B02AEC" w:rsidP="00B02AEC">
            <w:pPr>
              <w:rPr>
                <w:sz w:val="18"/>
                <w:szCs w:val="18"/>
              </w:rPr>
            </w:pPr>
            <w:r w:rsidRPr="00B02AEC">
              <w:rPr>
                <w:sz w:val="18"/>
                <w:szCs w:val="18"/>
              </w:rPr>
              <w:t>Yes - SJSU College of Science Research Day (optional participation)</w:t>
            </w:r>
          </w:p>
        </w:tc>
      </w:tr>
      <w:tr w:rsidR="00B02AEC" w:rsidRPr="00B02AEC" w14:paraId="1CDB9735" w14:textId="77777777" w:rsidTr="00B02AEC">
        <w:trPr>
          <w:trHeight w:val="422"/>
        </w:trPr>
        <w:tc>
          <w:tcPr>
            <w:tcW w:w="4399" w:type="dxa"/>
            <w:hideMark/>
          </w:tcPr>
          <w:p w14:paraId="5BAE61E7" w14:textId="77777777" w:rsidR="00B02AEC" w:rsidRPr="00B02AEC" w:rsidRDefault="00B02AEC">
            <w:pPr>
              <w:rPr>
                <w:sz w:val="18"/>
                <w:szCs w:val="18"/>
              </w:rPr>
            </w:pPr>
            <w:r w:rsidRPr="00B02AEC">
              <w:rPr>
                <w:sz w:val="18"/>
                <w:szCs w:val="18"/>
              </w:rPr>
              <w:t>Write for an alternative audience (a pracitioner instead of instructor)</w:t>
            </w:r>
          </w:p>
        </w:tc>
        <w:tc>
          <w:tcPr>
            <w:tcW w:w="2624" w:type="dxa"/>
            <w:hideMark/>
          </w:tcPr>
          <w:p w14:paraId="4BEEC7F0" w14:textId="77777777" w:rsidR="00B02AEC" w:rsidRPr="00B02AEC" w:rsidRDefault="00B02AEC" w:rsidP="00B02AEC">
            <w:pPr>
              <w:rPr>
                <w:sz w:val="18"/>
                <w:szCs w:val="18"/>
              </w:rPr>
            </w:pPr>
            <w:r w:rsidRPr="00B02AEC">
              <w:rPr>
                <w:sz w:val="18"/>
                <w:szCs w:val="18"/>
              </w:rPr>
              <w:t>No</w:t>
            </w:r>
          </w:p>
        </w:tc>
        <w:tc>
          <w:tcPr>
            <w:tcW w:w="3417" w:type="dxa"/>
            <w:hideMark/>
          </w:tcPr>
          <w:p w14:paraId="2279270B" w14:textId="77777777" w:rsidR="00B02AEC" w:rsidRPr="00B02AEC" w:rsidRDefault="00B02AEC" w:rsidP="00B02AEC">
            <w:pPr>
              <w:rPr>
                <w:sz w:val="18"/>
                <w:szCs w:val="18"/>
              </w:rPr>
            </w:pPr>
          </w:p>
        </w:tc>
      </w:tr>
      <w:tr w:rsidR="00B02AEC" w:rsidRPr="00B02AEC" w14:paraId="1E8A76E2" w14:textId="77777777" w:rsidTr="00B02AEC">
        <w:trPr>
          <w:trHeight w:val="242"/>
        </w:trPr>
        <w:tc>
          <w:tcPr>
            <w:tcW w:w="4399" w:type="dxa"/>
            <w:hideMark/>
          </w:tcPr>
          <w:p w14:paraId="2F44874C" w14:textId="77777777" w:rsidR="00B02AEC" w:rsidRPr="00B02AEC" w:rsidRDefault="00B02AEC">
            <w:pPr>
              <w:rPr>
                <w:sz w:val="18"/>
                <w:szCs w:val="18"/>
              </w:rPr>
            </w:pPr>
            <w:r w:rsidRPr="00B02AEC">
              <w:rPr>
                <w:sz w:val="18"/>
                <w:szCs w:val="18"/>
              </w:rPr>
              <w:t>Use of rubrics</w:t>
            </w:r>
          </w:p>
        </w:tc>
        <w:tc>
          <w:tcPr>
            <w:tcW w:w="2624" w:type="dxa"/>
            <w:hideMark/>
          </w:tcPr>
          <w:p w14:paraId="73074D8A" w14:textId="77777777" w:rsidR="00B02AEC" w:rsidRPr="00B02AEC" w:rsidRDefault="00B02AEC" w:rsidP="00B02AEC">
            <w:pPr>
              <w:rPr>
                <w:sz w:val="18"/>
                <w:szCs w:val="18"/>
              </w:rPr>
            </w:pPr>
            <w:r w:rsidRPr="00B02AEC">
              <w:rPr>
                <w:sz w:val="18"/>
                <w:szCs w:val="18"/>
              </w:rPr>
              <w:t>Yes</w:t>
            </w:r>
          </w:p>
        </w:tc>
        <w:tc>
          <w:tcPr>
            <w:tcW w:w="3417" w:type="dxa"/>
            <w:hideMark/>
          </w:tcPr>
          <w:p w14:paraId="7A36ACA7" w14:textId="77777777" w:rsidR="00B02AEC" w:rsidRPr="00B02AEC" w:rsidRDefault="00B02AEC" w:rsidP="00B02AEC">
            <w:pPr>
              <w:rPr>
                <w:sz w:val="18"/>
                <w:szCs w:val="18"/>
              </w:rPr>
            </w:pPr>
            <w:r w:rsidRPr="00B02AEC">
              <w:rPr>
                <w:sz w:val="18"/>
                <w:szCs w:val="18"/>
              </w:rPr>
              <w:t>Yes</w:t>
            </w:r>
          </w:p>
        </w:tc>
      </w:tr>
      <w:tr w:rsidR="00B02AEC" w:rsidRPr="00B02AEC" w14:paraId="5C3694EB" w14:textId="77777777" w:rsidTr="00B02AEC">
        <w:trPr>
          <w:trHeight w:val="260"/>
        </w:trPr>
        <w:tc>
          <w:tcPr>
            <w:tcW w:w="4399" w:type="dxa"/>
            <w:hideMark/>
          </w:tcPr>
          <w:p w14:paraId="40FF8B73" w14:textId="77777777" w:rsidR="00B02AEC" w:rsidRPr="00B02AEC" w:rsidRDefault="00B02AEC">
            <w:pPr>
              <w:rPr>
                <w:sz w:val="18"/>
                <w:szCs w:val="18"/>
              </w:rPr>
            </w:pPr>
            <w:r w:rsidRPr="00B02AEC">
              <w:rPr>
                <w:sz w:val="18"/>
                <w:szCs w:val="18"/>
              </w:rPr>
              <w:t>Use of peer review</w:t>
            </w:r>
          </w:p>
        </w:tc>
        <w:tc>
          <w:tcPr>
            <w:tcW w:w="2624" w:type="dxa"/>
            <w:hideMark/>
          </w:tcPr>
          <w:p w14:paraId="2695A255" w14:textId="77777777" w:rsidR="00B02AEC" w:rsidRPr="00B02AEC" w:rsidRDefault="00B02AEC" w:rsidP="00B02AEC">
            <w:pPr>
              <w:rPr>
                <w:sz w:val="18"/>
                <w:szCs w:val="18"/>
              </w:rPr>
            </w:pPr>
            <w:r w:rsidRPr="00B02AEC">
              <w:rPr>
                <w:sz w:val="18"/>
                <w:szCs w:val="18"/>
              </w:rPr>
              <w:t>Yes</w:t>
            </w:r>
          </w:p>
        </w:tc>
        <w:tc>
          <w:tcPr>
            <w:tcW w:w="3417" w:type="dxa"/>
            <w:hideMark/>
          </w:tcPr>
          <w:p w14:paraId="55814B67" w14:textId="77777777" w:rsidR="00B02AEC" w:rsidRPr="00B02AEC" w:rsidRDefault="00B02AEC" w:rsidP="00B02AEC">
            <w:pPr>
              <w:rPr>
                <w:sz w:val="18"/>
                <w:szCs w:val="18"/>
              </w:rPr>
            </w:pPr>
            <w:r w:rsidRPr="00B02AEC">
              <w:rPr>
                <w:sz w:val="18"/>
                <w:szCs w:val="18"/>
              </w:rPr>
              <w:t>Yes</w:t>
            </w:r>
          </w:p>
        </w:tc>
      </w:tr>
      <w:tr w:rsidR="00B02AEC" w:rsidRPr="00B02AEC" w14:paraId="131A47F2" w14:textId="77777777" w:rsidTr="00B02AEC">
        <w:trPr>
          <w:trHeight w:val="312"/>
        </w:trPr>
        <w:tc>
          <w:tcPr>
            <w:tcW w:w="4399" w:type="dxa"/>
            <w:hideMark/>
          </w:tcPr>
          <w:p w14:paraId="34FBE7CB" w14:textId="77777777" w:rsidR="00B02AEC" w:rsidRPr="00B02AEC" w:rsidRDefault="00B02AEC">
            <w:pPr>
              <w:rPr>
                <w:sz w:val="18"/>
                <w:szCs w:val="18"/>
              </w:rPr>
            </w:pPr>
            <w:r w:rsidRPr="00B02AEC">
              <w:rPr>
                <w:sz w:val="18"/>
                <w:szCs w:val="18"/>
              </w:rPr>
              <w:t xml:space="preserve">Work with professionals </w:t>
            </w:r>
          </w:p>
        </w:tc>
        <w:tc>
          <w:tcPr>
            <w:tcW w:w="2624" w:type="dxa"/>
            <w:hideMark/>
          </w:tcPr>
          <w:p w14:paraId="3EF82A37" w14:textId="77777777" w:rsidR="00B02AEC" w:rsidRPr="00B02AEC" w:rsidRDefault="00B02AEC" w:rsidP="00B02AEC">
            <w:pPr>
              <w:rPr>
                <w:sz w:val="18"/>
                <w:szCs w:val="18"/>
              </w:rPr>
            </w:pPr>
            <w:r w:rsidRPr="00B02AEC">
              <w:rPr>
                <w:sz w:val="18"/>
                <w:szCs w:val="18"/>
              </w:rPr>
              <w:t>Yes - Interview a professional</w:t>
            </w:r>
          </w:p>
        </w:tc>
        <w:tc>
          <w:tcPr>
            <w:tcW w:w="3417" w:type="dxa"/>
            <w:hideMark/>
          </w:tcPr>
          <w:p w14:paraId="51786728" w14:textId="77777777" w:rsidR="00B02AEC" w:rsidRPr="00B02AEC" w:rsidRDefault="00B02AEC" w:rsidP="00B02AEC">
            <w:pPr>
              <w:rPr>
                <w:sz w:val="18"/>
                <w:szCs w:val="18"/>
              </w:rPr>
            </w:pPr>
            <w:r w:rsidRPr="00B02AEC">
              <w:rPr>
                <w:sz w:val="18"/>
                <w:szCs w:val="18"/>
              </w:rPr>
              <w:t>Yes</w:t>
            </w:r>
          </w:p>
        </w:tc>
      </w:tr>
    </w:tbl>
    <w:p w14:paraId="4017F881" w14:textId="75B1215B" w:rsidR="0023646F" w:rsidRPr="0023646F" w:rsidRDefault="0023646F" w:rsidP="00E06645"/>
    <w:p w14:paraId="08C9F2A5" w14:textId="77777777" w:rsidR="00B02AEC" w:rsidRDefault="00B02AEC">
      <w:pPr>
        <w:rPr>
          <w:b/>
        </w:rPr>
      </w:pPr>
      <w:r>
        <w:rPr>
          <w:b/>
        </w:rPr>
        <w:br w:type="page"/>
      </w:r>
    </w:p>
    <w:p w14:paraId="5D8ED8AB" w14:textId="62AC5872" w:rsidR="00E06645" w:rsidRPr="00E06645" w:rsidRDefault="00E06645" w:rsidP="00B02AEC">
      <w:pPr>
        <w:jc w:val="center"/>
        <w:rPr>
          <w:b/>
        </w:rPr>
      </w:pPr>
      <w:r w:rsidRPr="00E06645">
        <w:rPr>
          <w:b/>
        </w:rPr>
        <w:lastRenderedPageBreak/>
        <w:t>Discussion</w:t>
      </w:r>
    </w:p>
    <w:p w14:paraId="4C1B0225" w14:textId="77777777" w:rsidR="00E06645" w:rsidRDefault="00E06645" w:rsidP="00E06645">
      <w:pPr>
        <w:jc w:val="center"/>
      </w:pPr>
    </w:p>
    <w:p w14:paraId="4771A214" w14:textId="5005AA2A" w:rsidR="00E06645" w:rsidRPr="00E06645" w:rsidRDefault="00E06645" w:rsidP="00E06645">
      <w:pPr>
        <w:jc w:val="center"/>
      </w:pPr>
      <w:r w:rsidRPr="00E06645">
        <w:t>Teaching Writing in STEM at San Jose State University</w:t>
      </w:r>
    </w:p>
    <w:p w14:paraId="5B7BB09A" w14:textId="77777777" w:rsidR="00E06645" w:rsidRDefault="00E06645" w:rsidP="00E06645"/>
    <w:p w14:paraId="6ED8DA36" w14:textId="77777777" w:rsidR="00E06645" w:rsidRPr="00E06645" w:rsidRDefault="00E06645" w:rsidP="00E06645">
      <w:pPr>
        <w:rPr>
          <w:b/>
        </w:rPr>
      </w:pPr>
      <w:r w:rsidRPr="00E06645">
        <w:rPr>
          <w:b/>
        </w:rPr>
        <w:t>Current writing requirements at SJSU</w:t>
      </w:r>
    </w:p>
    <w:p w14:paraId="73CFB71F" w14:textId="1B83BD74" w:rsidR="00E06645" w:rsidRDefault="00F5717A" w:rsidP="006E4647">
      <w:r>
        <w:t xml:space="preserve">Current writing requirements </w:t>
      </w:r>
      <w:r w:rsidR="006E4647">
        <w:t xml:space="preserve">for </w:t>
      </w:r>
      <w:r w:rsidR="00E06645">
        <w:t xml:space="preserve">graduation </w:t>
      </w:r>
      <w:r w:rsidR="006E4647">
        <w:t xml:space="preserve">include a first-year writing class (generally </w:t>
      </w:r>
      <w:r w:rsidR="00C45612">
        <w:t xml:space="preserve">a one-semester </w:t>
      </w:r>
      <w:r w:rsidR="006E4647">
        <w:t xml:space="preserve">English </w:t>
      </w:r>
      <w:r w:rsidR="00E06645">
        <w:t>1A</w:t>
      </w:r>
      <w:r w:rsidR="00C45612">
        <w:t xml:space="preserve"> course or a one-year Stretch English class</w:t>
      </w:r>
      <w:r w:rsidR="006E4647">
        <w:t xml:space="preserve">), followed by the Writing Skills Test (WST) that qualifies a student to take the </w:t>
      </w:r>
      <w:r w:rsidR="00E06645">
        <w:t xml:space="preserve">100W </w:t>
      </w:r>
      <w:r w:rsidR="006E4647">
        <w:t>class (upper-division general education writing requirement) within their major. Students must pass the 100W class within or approved by their major with a “C” or higher in order to graduate.</w:t>
      </w:r>
    </w:p>
    <w:p w14:paraId="6CDCCA0F" w14:textId="77777777" w:rsidR="006E4647" w:rsidRDefault="006E4647" w:rsidP="006E4647"/>
    <w:p w14:paraId="02B11322" w14:textId="17ED4C87" w:rsidR="00E06645" w:rsidRDefault="006E4647" w:rsidP="005E5652">
      <w:r>
        <w:t>Genre-speci</w:t>
      </w:r>
      <w:r w:rsidR="005E5652">
        <w:t>fic writing instruction for STEM m</w:t>
      </w:r>
      <w:r w:rsidR="00E06645">
        <w:t>ajors</w:t>
      </w:r>
      <w:r w:rsidR="005E5652">
        <w:t xml:space="preserve"> occurs within STEM departments, specifically in 100W courses</w:t>
      </w:r>
      <w:r w:rsidR="00EA261B">
        <w:t xml:space="preserve"> (</w:t>
      </w:r>
      <w:r w:rsidR="005E5652">
        <w:t>Table 2</w:t>
      </w:r>
      <w:r w:rsidR="00EA261B">
        <w:t>)</w:t>
      </w:r>
      <w:r w:rsidR="005E5652">
        <w:t xml:space="preserve">. </w:t>
      </w:r>
      <w:r w:rsidR="00A95152">
        <w:t xml:space="preserve">Faculty teaching writing in 100W classes are often </w:t>
      </w:r>
      <w:r w:rsidR="00EA261B">
        <w:t>those affiliated with that STEM department, but</w:t>
      </w:r>
      <w:r w:rsidR="00A95152">
        <w:t xml:space="preserve"> it is not uncommon for faculty from the English </w:t>
      </w:r>
      <w:r w:rsidR="00C45612">
        <w:t xml:space="preserve">Department </w:t>
      </w:r>
      <w:r w:rsidR="00A95152">
        <w:t>to be recruited to teach 100W classes for STEM departments.</w:t>
      </w:r>
      <w:r w:rsidR="00EA261B">
        <w:t xml:space="preserve"> Most STEM departments have a genre-specific 100W classes, although the College of Engineering has a general 100W that serves all Engineering majors, and Health Science and Recreation and Nutrition, Food Science, and Packaging share a 100W class.</w:t>
      </w:r>
    </w:p>
    <w:p w14:paraId="430D5A4B" w14:textId="77777777" w:rsidR="00E06645" w:rsidRDefault="00E06645" w:rsidP="00E06645"/>
    <w:p w14:paraId="724DB873" w14:textId="71450395" w:rsidR="00E06645" w:rsidRPr="00A95152" w:rsidRDefault="005E5652" w:rsidP="00E06645">
      <w:pPr>
        <w:rPr>
          <w:sz w:val="20"/>
          <w:szCs w:val="20"/>
        </w:rPr>
      </w:pPr>
      <w:r w:rsidRPr="00A95152">
        <w:rPr>
          <w:sz w:val="20"/>
          <w:szCs w:val="20"/>
        </w:rPr>
        <w:t>Table 2. STEM majors at SJSU</w:t>
      </w:r>
      <w:r w:rsidR="00A95152" w:rsidRPr="00A95152">
        <w:rPr>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E06645" w14:paraId="3C028FBE" w14:textId="77777777" w:rsidTr="00BB0BD6">
        <w:tc>
          <w:tcPr>
            <w:tcW w:w="3116" w:type="dxa"/>
          </w:tcPr>
          <w:p w14:paraId="2AA9FF60" w14:textId="77777777" w:rsidR="00E06645" w:rsidRPr="00A95152" w:rsidRDefault="00E06645" w:rsidP="00BB0BD6">
            <w:pPr>
              <w:rPr>
                <w:sz w:val="20"/>
                <w:szCs w:val="20"/>
              </w:rPr>
            </w:pPr>
            <w:r w:rsidRPr="00A95152">
              <w:rPr>
                <w:sz w:val="20"/>
                <w:szCs w:val="20"/>
              </w:rPr>
              <w:t>Anthropology</w:t>
            </w:r>
          </w:p>
        </w:tc>
        <w:tc>
          <w:tcPr>
            <w:tcW w:w="3117" w:type="dxa"/>
          </w:tcPr>
          <w:p w14:paraId="56B6D96B" w14:textId="77777777" w:rsidR="00E06645" w:rsidRPr="00A95152" w:rsidRDefault="00E06645" w:rsidP="00BB0BD6">
            <w:pPr>
              <w:rPr>
                <w:sz w:val="20"/>
                <w:szCs w:val="20"/>
              </w:rPr>
            </w:pPr>
            <w:r w:rsidRPr="00A95152">
              <w:rPr>
                <w:sz w:val="20"/>
                <w:szCs w:val="20"/>
              </w:rPr>
              <w:t>Kinesiology</w:t>
            </w:r>
          </w:p>
        </w:tc>
        <w:tc>
          <w:tcPr>
            <w:tcW w:w="3117" w:type="dxa"/>
          </w:tcPr>
          <w:p w14:paraId="3FBFCC04" w14:textId="6EB1AA71" w:rsidR="00E06645" w:rsidRPr="00A95152" w:rsidRDefault="00A95152" w:rsidP="00BB0BD6">
            <w:pPr>
              <w:rPr>
                <w:sz w:val="20"/>
                <w:szCs w:val="20"/>
              </w:rPr>
            </w:pPr>
            <w:r w:rsidRPr="00A95152">
              <w:rPr>
                <w:sz w:val="20"/>
                <w:szCs w:val="20"/>
              </w:rPr>
              <w:t>Mechanical Engineering</w:t>
            </w:r>
          </w:p>
        </w:tc>
      </w:tr>
      <w:tr w:rsidR="00E06645" w14:paraId="64B78424" w14:textId="77777777" w:rsidTr="00BB0BD6">
        <w:tc>
          <w:tcPr>
            <w:tcW w:w="3116" w:type="dxa"/>
          </w:tcPr>
          <w:p w14:paraId="49514124" w14:textId="77777777" w:rsidR="00E06645" w:rsidRPr="00A95152" w:rsidRDefault="00E06645" w:rsidP="00BB0BD6">
            <w:pPr>
              <w:rPr>
                <w:sz w:val="20"/>
                <w:szCs w:val="20"/>
              </w:rPr>
            </w:pPr>
            <w:r w:rsidRPr="00A95152">
              <w:rPr>
                <w:sz w:val="20"/>
                <w:szCs w:val="20"/>
              </w:rPr>
              <w:t>Biological Sciences</w:t>
            </w:r>
          </w:p>
        </w:tc>
        <w:tc>
          <w:tcPr>
            <w:tcW w:w="3117" w:type="dxa"/>
          </w:tcPr>
          <w:p w14:paraId="4D3CE91B" w14:textId="77777777" w:rsidR="00E06645" w:rsidRPr="00A95152" w:rsidRDefault="00E06645" w:rsidP="00BB0BD6">
            <w:pPr>
              <w:rPr>
                <w:sz w:val="20"/>
                <w:szCs w:val="20"/>
              </w:rPr>
            </w:pPr>
            <w:r w:rsidRPr="00A95152">
              <w:rPr>
                <w:sz w:val="20"/>
                <w:szCs w:val="20"/>
              </w:rPr>
              <w:t>Mathematics and Statistics</w:t>
            </w:r>
          </w:p>
        </w:tc>
        <w:tc>
          <w:tcPr>
            <w:tcW w:w="3117" w:type="dxa"/>
          </w:tcPr>
          <w:p w14:paraId="34C78148" w14:textId="7FA75872" w:rsidR="00E06645" w:rsidRPr="00A95152" w:rsidRDefault="00E06645" w:rsidP="00A95152">
            <w:pPr>
              <w:rPr>
                <w:sz w:val="20"/>
                <w:szCs w:val="20"/>
              </w:rPr>
            </w:pPr>
            <w:r w:rsidRPr="00A95152">
              <w:rPr>
                <w:sz w:val="20"/>
                <w:szCs w:val="20"/>
              </w:rPr>
              <w:t>Aerospace</w:t>
            </w:r>
            <w:r w:rsidR="00A95152" w:rsidRPr="00A95152">
              <w:rPr>
                <w:sz w:val="20"/>
                <w:szCs w:val="20"/>
              </w:rPr>
              <w:t xml:space="preserve"> Engineering</w:t>
            </w:r>
          </w:p>
        </w:tc>
      </w:tr>
      <w:tr w:rsidR="00E06645" w14:paraId="4CD16D40" w14:textId="77777777" w:rsidTr="00BB0BD6">
        <w:tc>
          <w:tcPr>
            <w:tcW w:w="3116" w:type="dxa"/>
          </w:tcPr>
          <w:p w14:paraId="6F5542E0" w14:textId="77777777" w:rsidR="00E06645" w:rsidRPr="00A95152" w:rsidRDefault="00E06645" w:rsidP="00BB0BD6">
            <w:pPr>
              <w:rPr>
                <w:sz w:val="20"/>
                <w:szCs w:val="20"/>
              </w:rPr>
            </w:pPr>
            <w:r w:rsidRPr="00A95152">
              <w:rPr>
                <w:sz w:val="20"/>
                <w:szCs w:val="20"/>
              </w:rPr>
              <w:t>Chemistry</w:t>
            </w:r>
          </w:p>
        </w:tc>
        <w:tc>
          <w:tcPr>
            <w:tcW w:w="3117" w:type="dxa"/>
          </w:tcPr>
          <w:p w14:paraId="34F3777F" w14:textId="77777777" w:rsidR="00E06645" w:rsidRPr="00A95152" w:rsidRDefault="00E06645" w:rsidP="00BB0BD6">
            <w:pPr>
              <w:rPr>
                <w:sz w:val="20"/>
                <w:szCs w:val="20"/>
              </w:rPr>
            </w:pPr>
            <w:r w:rsidRPr="00A95152">
              <w:rPr>
                <w:sz w:val="20"/>
                <w:szCs w:val="20"/>
              </w:rPr>
              <w:t>Meteorology and Climate Science</w:t>
            </w:r>
          </w:p>
        </w:tc>
        <w:tc>
          <w:tcPr>
            <w:tcW w:w="3117" w:type="dxa"/>
          </w:tcPr>
          <w:p w14:paraId="7B3C212B" w14:textId="51F90E37" w:rsidR="00E06645" w:rsidRPr="00A95152" w:rsidRDefault="00E06645" w:rsidP="00A95152">
            <w:pPr>
              <w:rPr>
                <w:sz w:val="20"/>
                <w:szCs w:val="20"/>
              </w:rPr>
            </w:pPr>
            <w:r w:rsidRPr="00A95152">
              <w:rPr>
                <w:sz w:val="20"/>
                <w:szCs w:val="20"/>
              </w:rPr>
              <w:t>Biomedical, chemical, and materials</w:t>
            </w:r>
            <w:r w:rsidR="00A95152" w:rsidRPr="00A95152">
              <w:rPr>
                <w:sz w:val="20"/>
                <w:szCs w:val="20"/>
              </w:rPr>
              <w:t xml:space="preserve"> Engineering</w:t>
            </w:r>
          </w:p>
        </w:tc>
      </w:tr>
      <w:tr w:rsidR="00E06645" w14:paraId="222DA39E" w14:textId="77777777" w:rsidTr="00BB0BD6">
        <w:tc>
          <w:tcPr>
            <w:tcW w:w="3116" w:type="dxa"/>
          </w:tcPr>
          <w:p w14:paraId="19590931" w14:textId="77777777" w:rsidR="00E06645" w:rsidRPr="00A95152" w:rsidRDefault="00E06645" w:rsidP="00BB0BD6">
            <w:pPr>
              <w:rPr>
                <w:sz w:val="20"/>
                <w:szCs w:val="20"/>
              </w:rPr>
            </w:pPr>
            <w:r w:rsidRPr="00A95152">
              <w:rPr>
                <w:sz w:val="20"/>
                <w:szCs w:val="20"/>
              </w:rPr>
              <w:t>Computer Science</w:t>
            </w:r>
          </w:p>
        </w:tc>
        <w:tc>
          <w:tcPr>
            <w:tcW w:w="3117" w:type="dxa"/>
          </w:tcPr>
          <w:p w14:paraId="07C26795" w14:textId="77777777" w:rsidR="00E06645" w:rsidRPr="00A95152" w:rsidRDefault="00E06645" w:rsidP="00BB0BD6">
            <w:pPr>
              <w:rPr>
                <w:sz w:val="20"/>
                <w:szCs w:val="20"/>
              </w:rPr>
            </w:pPr>
            <w:r w:rsidRPr="00A95152">
              <w:rPr>
                <w:sz w:val="20"/>
                <w:szCs w:val="20"/>
              </w:rPr>
              <w:t>Nursing</w:t>
            </w:r>
          </w:p>
        </w:tc>
        <w:tc>
          <w:tcPr>
            <w:tcW w:w="3117" w:type="dxa"/>
          </w:tcPr>
          <w:p w14:paraId="480C7D3F" w14:textId="5AA3371C" w:rsidR="00E06645" w:rsidRPr="00A95152" w:rsidRDefault="00E06645" w:rsidP="00A95152">
            <w:pPr>
              <w:rPr>
                <w:sz w:val="20"/>
                <w:szCs w:val="20"/>
              </w:rPr>
            </w:pPr>
            <w:r w:rsidRPr="00A95152">
              <w:rPr>
                <w:sz w:val="20"/>
                <w:szCs w:val="20"/>
              </w:rPr>
              <w:t>Civil and Environmental</w:t>
            </w:r>
            <w:r w:rsidR="00A95152" w:rsidRPr="00A95152">
              <w:rPr>
                <w:sz w:val="20"/>
                <w:szCs w:val="20"/>
              </w:rPr>
              <w:t xml:space="preserve"> Engineering</w:t>
            </w:r>
          </w:p>
        </w:tc>
      </w:tr>
      <w:tr w:rsidR="00E06645" w14:paraId="1E1EFF38" w14:textId="77777777" w:rsidTr="00BB0BD6">
        <w:tc>
          <w:tcPr>
            <w:tcW w:w="3116" w:type="dxa"/>
          </w:tcPr>
          <w:p w14:paraId="4BEAB40C" w14:textId="77777777" w:rsidR="00E06645" w:rsidRPr="00A95152" w:rsidRDefault="00E06645" w:rsidP="00BB0BD6">
            <w:pPr>
              <w:rPr>
                <w:sz w:val="20"/>
                <w:szCs w:val="20"/>
              </w:rPr>
            </w:pPr>
            <w:r w:rsidRPr="00A95152">
              <w:rPr>
                <w:sz w:val="20"/>
                <w:szCs w:val="20"/>
              </w:rPr>
              <w:t>Environmental Studies</w:t>
            </w:r>
          </w:p>
        </w:tc>
        <w:tc>
          <w:tcPr>
            <w:tcW w:w="3117" w:type="dxa"/>
          </w:tcPr>
          <w:p w14:paraId="060A0D6D" w14:textId="77777777" w:rsidR="00E06645" w:rsidRPr="00A95152" w:rsidRDefault="00E06645" w:rsidP="00BB0BD6">
            <w:pPr>
              <w:rPr>
                <w:sz w:val="20"/>
                <w:szCs w:val="20"/>
              </w:rPr>
            </w:pPr>
            <w:r w:rsidRPr="00A95152">
              <w:rPr>
                <w:sz w:val="20"/>
                <w:szCs w:val="20"/>
              </w:rPr>
              <w:t>Nutrition, Food Science, and Packaging</w:t>
            </w:r>
          </w:p>
        </w:tc>
        <w:tc>
          <w:tcPr>
            <w:tcW w:w="3117" w:type="dxa"/>
          </w:tcPr>
          <w:p w14:paraId="4AB1B2A3" w14:textId="428612ED" w:rsidR="00E06645" w:rsidRPr="00A95152" w:rsidRDefault="00E06645" w:rsidP="00A95152">
            <w:pPr>
              <w:rPr>
                <w:sz w:val="20"/>
                <w:szCs w:val="20"/>
              </w:rPr>
            </w:pPr>
            <w:r w:rsidRPr="00A95152">
              <w:rPr>
                <w:sz w:val="20"/>
                <w:szCs w:val="20"/>
              </w:rPr>
              <w:t>Computer</w:t>
            </w:r>
            <w:r w:rsidR="00A95152" w:rsidRPr="00A95152">
              <w:rPr>
                <w:sz w:val="20"/>
                <w:szCs w:val="20"/>
              </w:rPr>
              <w:t xml:space="preserve"> Engineering</w:t>
            </w:r>
          </w:p>
        </w:tc>
      </w:tr>
      <w:tr w:rsidR="00E06645" w14:paraId="0812BDDF" w14:textId="77777777" w:rsidTr="00BB0BD6">
        <w:tc>
          <w:tcPr>
            <w:tcW w:w="3116" w:type="dxa"/>
          </w:tcPr>
          <w:p w14:paraId="2631BF51" w14:textId="77777777" w:rsidR="00E06645" w:rsidRPr="00A95152" w:rsidRDefault="00E06645" w:rsidP="00BB0BD6">
            <w:pPr>
              <w:rPr>
                <w:sz w:val="20"/>
                <w:szCs w:val="20"/>
              </w:rPr>
            </w:pPr>
            <w:r w:rsidRPr="00A95152">
              <w:rPr>
                <w:sz w:val="20"/>
                <w:szCs w:val="20"/>
              </w:rPr>
              <w:t>Geography</w:t>
            </w:r>
          </w:p>
        </w:tc>
        <w:tc>
          <w:tcPr>
            <w:tcW w:w="3117" w:type="dxa"/>
          </w:tcPr>
          <w:p w14:paraId="5D855433" w14:textId="77777777" w:rsidR="00E06645" w:rsidRPr="00A95152" w:rsidRDefault="00E06645" w:rsidP="00BB0BD6">
            <w:pPr>
              <w:rPr>
                <w:sz w:val="20"/>
                <w:szCs w:val="20"/>
              </w:rPr>
            </w:pPr>
            <w:r w:rsidRPr="00A95152">
              <w:rPr>
                <w:sz w:val="20"/>
                <w:szCs w:val="20"/>
              </w:rPr>
              <w:t>Physics and astronomy</w:t>
            </w:r>
          </w:p>
        </w:tc>
        <w:tc>
          <w:tcPr>
            <w:tcW w:w="3117" w:type="dxa"/>
          </w:tcPr>
          <w:p w14:paraId="5EFC1732" w14:textId="2C90DB33" w:rsidR="00E06645" w:rsidRPr="00A95152" w:rsidRDefault="00E06645" w:rsidP="00A95152">
            <w:pPr>
              <w:rPr>
                <w:sz w:val="20"/>
                <w:szCs w:val="20"/>
              </w:rPr>
            </w:pPr>
            <w:r w:rsidRPr="00A95152">
              <w:rPr>
                <w:sz w:val="20"/>
                <w:szCs w:val="20"/>
              </w:rPr>
              <w:t>Electrical</w:t>
            </w:r>
            <w:r w:rsidR="00A95152" w:rsidRPr="00A95152">
              <w:rPr>
                <w:sz w:val="20"/>
                <w:szCs w:val="20"/>
              </w:rPr>
              <w:t xml:space="preserve"> Engineering</w:t>
            </w:r>
          </w:p>
        </w:tc>
      </w:tr>
      <w:tr w:rsidR="00E06645" w14:paraId="7757D605" w14:textId="77777777" w:rsidTr="00BB0BD6">
        <w:tc>
          <w:tcPr>
            <w:tcW w:w="3116" w:type="dxa"/>
          </w:tcPr>
          <w:p w14:paraId="520ACC48" w14:textId="77777777" w:rsidR="00E06645" w:rsidRPr="00A95152" w:rsidRDefault="00E06645" w:rsidP="00BB0BD6">
            <w:pPr>
              <w:rPr>
                <w:sz w:val="20"/>
                <w:szCs w:val="20"/>
              </w:rPr>
            </w:pPr>
            <w:r w:rsidRPr="00A95152">
              <w:rPr>
                <w:sz w:val="20"/>
                <w:szCs w:val="20"/>
              </w:rPr>
              <w:t>Geology</w:t>
            </w:r>
          </w:p>
        </w:tc>
        <w:tc>
          <w:tcPr>
            <w:tcW w:w="3117" w:type="dxa"/>
          </w:tcPr>
          <w:p w14:paraId="034BCFCF" w14:textId="77777777" w:rsidR="00E06645" w:rsidRPr="00A95152" w:rsidRDefault="00E06645" w:rsidP="00BB0BD6">
            <w:pPr>
              <w:rPr>
                <w:sz w:val="20"/>
                <w:szCs w:val="20"/>
              </w:rPr>
            </w:pPr>
            <w:r w:rsidRPr="00A95152">
              <w:rPr>
                <w:sz w:val="20"/>
                <w:szCs w:val="20"/>
              </w:rPr>
              <w:t>Psychology</w:t>
            </w:r>
          </w:p>
        </w:tc>
        <w:tc>
          <w:tcPr>
            <w:tcW w:w="3117" w:type="dxa"/>
          </w:tcPr>
          <w:p w14:paraId="0E6FF006" w14:textId="4C3609D8" w:rsidR="00E06645" w:rsidRPr="00A95152" w:rsidRDefault="00E06645" w:rsidP="00A95152">
            <w:pPr>
              <w:rPr>
                <w:sz w:val="20"/>
                <w:szCs w:val="20"/>
              </w:rPr>
            </w:pPr>
            <w:r w:rsidRPr="00A95152">
              <w:rPr>
                <w:sz w:val="20"/>
                <w:szCs w:val="20"/>
              </w:rPr>
              <w:t>General</w:t>
            </w:r>
            <w:r w:rsidR="00A95152" w:rsidRPr="00A95152">
              <w:rPr>
                <w:sz w:val="20"/>
                <w:szCs w:val="20"/>
              </w:rPr>
              <w:t xml:space="preserve"> Engineering</w:t>
            </w:r>
          </w:p>
        </w:tc>
      </w:tr>
      <w:tr w:rsidR="00E06645" w14:paraId="40E13AA4" w14:textId="77777777" w:rsidTr="00BB0BD6">
        <w:tc>
          <w:tcPr>
            <w:tcW w:w="3116" w:type="dxa"/>
          </w:tcPr>
          <w:p w14:paraId="7FBA655D" w14:textId="77777777" w:rsidR="00E06645" w:rsidRPr="00A95152" w:rsidRDefault="00E06645" w:rsidP="00BB0BD6">
            <w:pPr>
              <w:rPr>
                <w:sz w:val="20"/>
                <w:szCs w:val="20"/>
              </w:rPr>
            </w:pPr>
            <w:r w:rsidRPr="00A95152">
              <w:rPr>
                <w:sz w:val="20"/>
                <w:szCs w:val="20"/>
              </w:rPr>
              <w:t>Health Science and Recreation</w:t>
            </w:r>
          </w:p>
        </w:tc>
        <w:tc>
          <w:tcPr>
            <w:tcW w:w="3117" w:type="dxa"/>
          </w:tcPr>
          <w:p w14:paraId="2CCFA230" w14:textId="77777777" w:rsidR="00E06645" w:rsidRPr="00A95152" w:rsidRDefault="00E06645" w:rsidP="00BB0BD6">
            <w:pPr>
              <w:rPr>
                <w:sz w:val="20"/>
                <w:szCs w:val="20"/>
              </w:rPr>
            </w:pPr>
            <w:r w:rsidRPr="00A95152">
              <w:rPr>
                <w:sz w:val="20"/>
                <w:szCs w:val="20"/>
              </w:rPr>
              <w:t>Technology</w:t>
            </w:r>
          </w:p>
        </w:tc>
        <w:tc>
          <w:tcPr>
            <w:tcW w:w="3117" w:type="dxa"/>
          </w:tcPr>
          <w:p w14:paraId="348DD997" w14:textId="502486E6" w:rsidR="00E06645" w:rsidRPr="00A95152" w:rsidRDefault="00E06645" w:rsidP="00A95152">
            <w:pPr>
              <w:rPr>
                <w:sz w:val="20"/>
                <w:szCs w:val="20"/>
              </w:rPr>
            </w:pPr>
            <w:r w:rsidRPr="00A95152">
              <w:rPr>
                <w:sz w:val="20"/>
                <w:szCs w:val="20"/>
              </w:rPr>
              <w:t>Industrial and Systems</w:t>
            </w:r>
            <w:r w:rsidR="00A95152" w:rsidRPr="00A95152">
              <w:rPr>
                <w:sz w:val="20"/>
                <w:szCs w:val="20"/>
              </w:rPr>
              <w:t xml:space="preserve"> Engineering</w:t>
            </w:r>
          </w:p>
        </w:tc>
      </w:tr>
    </w:tbl>
    <w:p w14:paraId="242E6C3E" w14:textId="77777777" w:rsidR="00E06645" w:rsidRDefault="00E06645" w:rsidP="006E304F">
      <w:pPr>
        <w:rPr>
          <w:b/>
        </w:rPr>
      </w:pPr>
    </w:p>
    <w:p w14:paraId="20F13A79" w14:textId="4825A654" w:rsidR="006E304F" w:rsidRPr="002E54D8" w:rsidRDefault="006E304F" w:rsidP="006E304F">
      <w:pPr>
        <w:rPr>
          <w:b/>
        </w:rPr>
      </w:pPr>
      <w:r w:rsidRPr="002E54D8">
        <w:rPr>
          <w:b/>
        </w:rPr>
        <w:t xml:space="preserve">Support for </w:t>
      </w:r>
      <w:r w:rsidR="00EA261B">
        <w:rPr>
          <w:b/>
        </w:rPr>
        <w:t>Writing at SJSU</w:t>
      </w:r>
    </w:p>
    <w:p w14:paraId="6C466CBE" w14:textId="77777777" w:rsidR="00EA261B" w:rsidRDefault="00EA261B" w:rsidP="00EA261B">
      <w:r>
        <w:t xml:space="preserve">There are two programs designed specifically to support writing at SJSU: </w:t>
      </w:r>
      <w:r w:rsidR="006E304F">
        <w:t>Writing Across the Curriculum</w:t>
      </w:r>
      <w:r w:rsidR="00480850">
        <w:t xml:space="preserve"> (WAC) </w:t>
      </w:r>
      <w:r>
        <w:t xml:space="preserve">provides support to faculty, </w:t>
      </w:r>
      <w:r w:rsidR="00480850">
        <w:t xml:space="preserve">and </w:t>
      </w:r>
      <w:r>
        <w:t>the Writing Center (WC) offers support for students.</w:t>
      </w:r>
    </w:p>
    <w:p w14:paraId="35FB05A1" w14:textId="77777777" w:rsidR="00EA261B" w:rsidRDefault="00EA261B" w:rsidP="00EA261B"/>
    <w:p w14:paraId="4E6EBEE4" w14:textId="2832A935" w:rsidR="00B378FA" w:rsidRPr="00157519" w:rsidRDefault="003B3AA2" w:rsidP="00BD4A2C">
      <w:pPr>
        <w:rPr>
          <w:u w:val="single"/>
        </w:rPr>
      </w:pPr>
      <w:r w:rsidRPr="00157519">
        <w:rPr>
          <w:u w:val="single"/>
        </w:rPr>
        <w:t>Writing Across the Curriculum</w:t>
      </w:r>
      <w:r w:rsidR="00157519">
        <w:rPr>
          <w:u w:val="single"/>
        </w:rPr>
        <w:t>.</w:t>
      </w:r>
      <w:r w:rsidR="00C97786">
        <w:t xml:space="preserve"> </w:t>
      </w:r>
      <w:r w:rsidR="00BD4A2C">
        <w:t xml:space="preserve">The WAC program at SJSU supports university-wide efforts to </w:t>
      </w:r>
      <w:r w:rsidR="003276E3">
        <w:t>develop</w:t>
      </w:r>
      <w:r w:rsidR="00BD4A2C">
        <w:t xml:space="preserve"> </w:t>
      </w:r>
      <w:r w:rsidR="003276E3">
        <w:t xml:space="preserve">100W and writing-intensive classes </w:t>
      </w:r>
      <w:r w:rsidR="00BD4A2C">
        <w:t xml:space="preserve">by offering workshops and seminars, providing </w:t>
      </w:r>
      <w:r w:rsidR="003276E3">
        <w:t>materials</w:t>
      </w:r>
      <w:r w:rsidR="00BD4A2C">
        <w:t>, supporting research, and providing a platform by and for faculty teaching writing</w:t>
      </w:r>
      <w:r w:rsidR="003276E3">
        <w:t xml:space="preserve"> (</w:t>
      </w:r>
      <w:hyperlink r:id="rId8" w:history="1">
        <w:r w:rsidR="003276E3" w:rsidRPr="00232250">
          <w:rPr>
            <w:rStyle w:val="Hyperlink"/>
          </w:rPr>
          <w:t>http://www.sjsu.edu/wac/</w:t>
        </w:r>
      </w:hyperlink>
      <w:r w:rsidR="003276E3">
        <w:t>)</w:t>
      </w:r>
      <w:r w:rsidR="00BD4A2C">
        <w:t xml:space="preserve">. This program </w:t>
      </w:r>
      <w:r w:rsidR="00480850">
        <w:t xml:space="preserve">emphasizes the </w:t>
      </w:r>
      <w:r w:rsidR="00BD4A2C">
        <w:t>commonalities and transferability</w:t>
      </w:r>
      <w:r w:rsidR="00480850">
        <w:t xml:space="preserve"> of writing practices</w:t>
      </w:r>
      <w:r w:rsidR="000C0503">
        <w:t xml:space="preserve"> </w:t>
      </w:r>
      <w:r w:rsidR="00BD4A2C">
        <w:t>between majors (Monroe 2003). Research has found that WAC programs are</w:t>
      </w:r>
      <w:r w:rsidR="00B378FA">
        <w:t xml:space="preserve"> </w:t>
      </w:r>
      <w:r w:rsidR="00BD4A2C">
        <w:t xml:space="preserve">especially </w:t>
      </w:r>
      <w:r w:rsidR="00B378FA">
        <w:t>useful in supporting the teaching of basic and technical writing skills (Fallahi, Wood, and Austad 2006)</w:t>
      </w:r>
      <w:r w:rsidR="00BD4A2C">
        <w:t>.</w:t>
      </w:r>
    </w:p>
    <w:p w14:paraId="1260FB85" w14:textId="77777777" w:rsidR="003276E3" w:rsidRDefault="003276E3" w:rsidP="00BD4A2C"/>
    <w:p w14:paraId="7EB9A7C6" w14:textId="4140DE60" w:rsidR="003276E3" w:rsidRDefault="003276E3" w:rsidP="003276E3">
      <w:r>
        <w:lastRenderedPageBreak/>
        <w:t xml:space="preserve">SJSU’s WAC program </w:t>
      </w:r>
      <w:r w:rsidR="0091562E">
        <w:t xml:space="preserve">is unique in that it </w:t>
      </w:r>
      <w:r>
        <w:t>also offers seminars that are typically associated with Writing In the Disciplines (WID)</w:t>
      </w:r>
      <w:r w:rsidR="0091562E">
        <w:t xml:space="preserve"> programs. WID differs from WAC in its emphasi</w:t>
      </w:r>
      <w:r>
        <w:t xml:space="preserve">s </w:t>
      </w:r>
      <w:r w:rsidR="0091562E">
        <w:t xml:space="preserve">on </w:t>
      </w:r>
      <w:r>
        <w:t xml:space="preserve">disciplinary differences, diversity, and heterogeneity within and between academic fields (Monroe 2003). </w:t>
      </w:r>
      <w:r w:rsidR="0091562E">
        <w:t>These seminars focus</w:t>
      </w:r>
      <w:r>
        <w:t xml:space="preserve"> on departmental-level efforts to improve writing </w:t>
      </w:r>
      <w:r w:rsidR="0091562E">
        <w:t>and seek to provide faculty with support to teach genre-specific, professi</w:t>
      </w:r>
      <w:r w:rsidR="00F03F59">
        <w:t xml:space="preserve">onal writing skills to students. </w:t>
      </w:r>
    </w:p>
    <w:p w14:paraId="0175F509" w14:textId="77777777" w:rsidR="00BD4A2C" w:rsidRDefault="00BD4A2C" w:rsidP="00BD4A2C"/>
    <w:p w14:paraId="0D0E389B" w14:textId="3B39B3A0" w:rsidR="00BD4A2C" w:rsidRDefault="00BD4A2C" w:rsidP="00BD4A2C">
      <w:r>
        <w:t>The WAC program at SJSU also supports a Writing Fellows program, which</w:t>
      </w:r>
      <w:r w:rsidR="003276E3">
        <w:t>, in conjunction with SJSU’s Writing Center,</w:t>
      </w:r>
      <w:r>
        <w:t xml:space="preserve"> hires and trains students to provide embedded classroom support for </w:t>
      </w:r>
      <w:r w:rsidR="003276E3">
        <w:t xml:space="preserve">specific </w:t>
      </w:r>
      <w:r>
        <w:t>100W courses</w:t>
      </w:r>
      <w:r w:rsidR="0091562E">
        <w:t xml:space="preserve"> for an entire semester (</w:t>
      </w:r>
      <w:r w:rsidR="00C45612">
        <w:t>five</w:t>
      </w:r>
      <w:r w:rsidR="0091562E">
        <w:t xml:space="preserve"> hours per week). The Writing Fellow works with faculty to support students both in and out of the classroom, in any and all assignments and stages of writing. </w:t>
      </w:r>
    </w:p>
    <w:p w14:paraId="16336511" w14:textId="77777777" w:rsidR="0091562E" w:rsidRDefault="0091562E" w:rsidP="00BD4A2C"/>
    <w:p w14:paraId="11093BE9" w14:textId="0079E6F3" w:rsidR="00720DB8" w:rsidRDefault="0091562E" w:rsidP="0091562E">
      <w:r w:rsidRPr="00C97786">
        <w:rPr>
          <w:u w:val="single"/>
        </w:rPr>
        <w:t xml:space="preserve">The </w:t>
      </w:r>
      <w:r w:rsidR="006E304F" w:rsidRPr="00C97786">
        <w:rPr>
          <w:u w:val="single"/>
        </w:rPr>
        <w:t>Writing Center</w:t>
      </w:r>
      <w:r w:rsidR="00C97786">
        <w:rPr>
          <w:u w:val="single"/>
        </w:rPr>
        <w:t>.</w:t>
      </w:r>
      <w:r w:rsidRPr="00C3466D">
        <w:t xml:space="preserve"> </w:t>
      </w:r>
      <w:r>
        <w:t xml:space="preserve">SJSU’s Writing Center supports student success in writing by offering </w:t>
      </w:r>
      <w:r w:rsidR="004E611A">
        <w:t xml:space="preserve">one-on-one tutoring, workshops tailored for and delivered to a specific </w:t>
      </w:r>
      <w:r>
        <w:t>clas</w:t>
      </w:r>
      <w:r w:rsidR="000A285C">
        <w:t>s</w:t>
      </w:r>
      <w:r>
        <w:t xml:space="preserve">, workshops, and </w:t>
      </w:r>
      <w:r w:rsidR="000A285C">
        <w:t xml:space="preserve">online resources (such as a blog, videos, </w:t>
      </w:r>
      <w:r>
        <w:t>handouts</w:t>
      </w:r>
      <w:r w:rsidR="000A285C">
        <w:t>)</w:t>
      </w:r>
      <w:r>
        <w:t xml:space="preserve">. Tutors can help students with prewriting, grammar, organization, formatting, and content </w:t>
      </w:r>
      <w:r w:rsidR="00C45612">
        <w:t xml:space="preserve">development </w:t>
      </w:r>
      <w:r>
        <w:t>issues</w:t>
      </w:r>
      <w:r w:rsidR="00785683">
        <w:t>, with the intent of improving a student’s overall writing skills (as opposed to providing editing services)</w:t>
      </w:r>
      <w:r>
        <w:t xml:space="preserve">. </w:t>
      </w:r>
      <w:r w:rsidR="00F03F59">
        <w:t xml:space="preserve">Although </w:t>
      </w:r>
      <w:r w:rsidR="00C45612">
        <w:t xml:space="preserve">some </w:t>
      </w:r>
      <w:r w:rsidR="00F03F59">
        <w:t xml:space="preserve">tutors are from the English </w:t>
      </w:r>
      <w:r w:rsidR="00C45612">
        <w:t>Department</w:t>
      </w:r>
      <w:r w:rsidR="00F03F59">
        <w:t xml:space="preserve">, their goal of supporting and supplementing writing instruction for all students is reflected in their service of all </w:t>
      </w:r>
      <w:r w:rsidR="00C45612">
        <w:t xml:space="preserve">departments and </w:t>
      </w:r>
      <w:r w:rsidR="00F03F59">
        <w:t xml:space="preserve">colleges within the university. </w:t>
      </w:r>
    </w:p>
    <w:p w14:paraId="4640A629" w14:textId="77777777" w:rsidR="00720DB8" w:rsidRDefault="00720DB8" w:rsidP="0091562E"/>
    <w:p w14:paraId="393357E6" w14:textId="47DB3976" w:rsidR="00720DB8" w:rsidRDefault="00720DB8" w:rsidP="0091562E">
      <w:r w:rsidRPr="004950C2">
        <w:t xml:space="preserve">During the </w:t>
      </w:r>
      <w:r w:rsidR="004950C2" w:rsidRPr="004950C2">
        <w:t>2016/</w:t>
      </w:r>
      <w:r w:rsidRPr="004950C2">
        <w:t xml:space="preserve">2017 </w:t>
      </w:r>
      <w:r w:rsidR="004950C2" w:rsidRPr="004950C2">
        <w:t>academic year</w:t>
      </w:r>
      <w:r w:rsidRPr="004950C2">
        <w:t xml:space="preserve">, the Writing Center served </w:t>
      </w:r>
      <w:r w:rsidR="004950C2" w:rsidRPr="004950C2">
        <w:t>1,288</w:t>
      </w:r>
      <w:r w:rsidRPr="004950C2">
        <w:t xml:space="preserve"> clients </w:t>
      </w:r>
      <w:r w:rsidR="004950C2" w:rsidRPr="004950C2">
        <w:t>for 3,252</w:t>
      </w:r>
      <w:r w:rsidR="003C34E1" w:rsidRPr="004950C2">
        <w:t xml:space="preserve"> tutoring sessions (2.5</w:t>
      </w:r>
      <w:r w:rsidRPr="004950C2">
        <w:t>2 sessions per client)</w:t>
      </w:r>
      <w:r w:rsidR="00C57B0C" w:rsidRPr="004950C2">
        <w:t xml:space="preserve"> (</w:t>
      </w:r>
      <w:r w:rsidR="00E476AA">
        <w:t xml:space="preserve">Hager and </w:t>
      </w:r>
      <w:r w:rsidR="00C57B0C" w:rsidRPr="004950C2">
        <w:t>Walls 2017)</w:t>
      </w:r>
      <w:r w:rsidRPr="004950C2">
        <w:t xml:space="preserve">. </w:t>
      </w:r>
      <w:r w:rsidR="00C57B0C" w:rsidRPr="004950C2">
        <w:t xml:space="preserve">Of the total clients/students, </w:t>
      </w:r>
      <w:r w:rsidR="004950C2" w:rsidRPr="004950C2">
        <w:t>24</w:t>
      </w:r>
      <w:r w:rsidR="00C57B0C" w:rsidRPr="004950C2">
        <w:t xml:space="preserve">% were from the Colleges of Engineering or Science (STEM majors), with an additional </w:t>
      </w:r>
      <w:r w:rsidR="004950C2" w:rsidRPr="004950C2">
        <w:t>37</w:t>
      </w:r>
      <w:r w:rsidR="00C57B0C" w:rsidRPr="004950C2">
        <w:t xml:space="preserve">% from the </w:t>
      </w:r>
      <w:r w:rsidRPr="004950C2">
        <w:t>College</w:t>
      </w:r>
      <w:r w:rsidR="00C57B0C" w:rsidRPr="004950C2">
        <w:t>s</w:t>
      </w:r>
      <w:r w:rsidRPr="004950C2">
        <w:t xml:space="preserve"> of Social Science </w:t>
      </w:r>
      <w:r w:rsidR="00C57B0C" w:rsidRPr="004950C2">
        <w:t xml:space="preserve">and Applied Sciences and Arts (not all majors within these colleges are STEM majors, but the majority are). So, potentially 50-60% of all of the students served by the Writing Center are from STEM disciplines. </w:t>
      </w:r>
    </w:p>
    <w:p w14:paraId="02098783" w14:textId="2E142EDC" w:rsidR="00BA5643" w:rsidRDefault="00BA5643" w:rsidP="004D36F7"/>
    <w:p w14:paraId="067D7682" w14:textId="770664A8" w:rsidR="00BA5643" w:rsidRPr="00E06645" w:rsidRDefault="00E06645" w:rsidP="00E06645">
      <w:pPr>
        <w:jc w:val="center"/>
        <w:rPr>
          <w:b/>
        </w:rPr>
      </w:pPr>
      <w:r w:rsidRPr="00E06645">
        <w:rPr>
          <w:b/>
        </w:rPr>
        <w:t>Recommendations</w:t>
      </w:r>
    </w:p>
    <w:p w14:paraId="6E20A223" w14:textId="77777777" w:rsidR="002B50FB" w:rsidRDefault="002B50FB" w:rsidP="004D36F7"/>
    <w:p w14:paraId="74F8FF70" w14:textId="2E7E3D21" w:rsidR="002B50FB" w:rsidRDefault="0096046D" w:rsidP="004D36F7">
      <w:r>
        <w:t>T</w:t>
      </w:r>
      <w:r w:rsidR="002B50FB">
        <w:t>he r</w:t>
      </w:r>
      <w:r>
        <w:t>esults of the literature survey and</w:t>
      </w:r>
      <w:r w:rsidR="002B50FB">
        <w:t xml:space="preserve"> a</w:t>
      </w:r>
      <w:r>
        <w:t>dministered survey, when compared to</w:t>
      </w:r>
      <w:r w:rsidR="002B50FB">
        <w:t xml:space="preserve"> SJSU’s current writing requirements and programs</w:t>
      </w:r>
      <w:r>
        <w:t xml:space="preserve">, </w:t>
      </w:r>
      <w:r w:rsidR="00CD2088">
        <w:t xml:space="preserve">shows </w:t>
      </w:r>
      <w:r w:rsidR="000A285C">
        <w:t xml:space="preserve">some </w:t>
      </w:r>
      <w:r w:rsidR="00CD2088">
        <w:t xml:space="preserve">alignment with current practices. There, are, however, </w:t>
      </w:r>
      <w:r>
        <w:t>a number of areas where additional programming may provide additional support for STEM writing and teaching within the university.</w:t>
      </w:r>
    </w:p>
    <w:p w14:paraId="178CE431" w14:textId="77777777" w:rsidR="002B50FB" w:rsidRDefault="002B50FB" w:rsidP="004D36F7"/>
    <w:p w14:paraId="0822F863" w14:textId="46A261FE" w:rsidR="00E06645" w:rsidRDefault="00E06645" w:rsidP="00E06645">
      <w:pPr>
        <w:jc w:val="center"/>
      </w:pPr>
      <w:r w:rsidRPr="00E06645">
        <w:t>University-wide</w:t>
      </w:r>
    </w:p>
    <w:p w14:paraId="2A39C316" w14:textId="77777777" w:rsidR="0096046D" w:rsidRDefault="0096046D" w:rsidP="00E06645">
      <w:pPr>
        <w:jc w:val="center"/>
      </w:pPr>
    </w:p>
    <w:p w14:paraId="6528B9A9" w14:textId="05D5C30C" w:rsidR="00C97786" w:rsidRDefault="00CD2088" w:rsidP="0096046D">
      <w:r>
        <w:t xml:space="preserve">SJSU may benefit from a program like Duke University’s </w:t>
      </w:r>
      <w:r w:rsidR="00113855">
        <w:t xml:space="preserve">Reader Project, in which alumni are recruited via the Alumni Association (or a department with a strong alumni network) to work with a student on a professional writing assignment in their area of expertise. This gives alumni a way to stay connected and give back to their alma mater (and/or department) </w:t>
      </w:r>
      <w:r w:rsidR="00943035">
        <w:t xml:space="preserve">and </w:t>
      </w:r>
      <w:r w:rsidR="00113855">
        <w:t>the student</w:t>
      </w:r>
      <w:r w:rsidR="003622E0">
        <w:t>s</w:t>
      </w:r>
      <w:r w:rsidR="00113855">
        <w:t xml:space="preserve"> an experience and connection with professional</w:t>
      </w:r>
      <w:r w:rsidR="003622E0">
        <w:t>s</w:t>
      </w:r>
      <w:r w:rsidR="00113855">
        <w:t xml:space="preserve"> in their field</w:t>
      </w:r>
      <w:r w:rsidR="00943035">
        <w:t xml:space="preserve">. Students are provided </w:t>
      </w:r>
      <w:r w:rsidR="00113855">
        <w:t>a chance to get direct feedback on their writing skills and style from a practitioner in their field</w:t>
      </w:r>
      <w:r w:rsidR="00943035">
        <w:t xml:space="preserve"> and </w:t>
      </w:r>
      <w:r w:rsidR="00113855">
        <w:t>a feel for how their writing will need to change as they transit</w:t>
      </w:r>
      <w:r w:rsidR="003C34E1">
        <w:t xml:space="preserve">ion to a job outside of </w:t>
      </w:r>
      <w:r w:rsidR="003C34E1">
        <w:lastRenderedPageBreak/>
        <w:t>university</w:t>
      </w:r>
      <w:r w:rsidR="00943035">
        <w:t>. Instructors will benefit from the exposure that students get to professionals, including additional feedback on their writing.</w:t>
      </w:r>
    </w:p>
    <w:p w14:paraId="66D84E25" w14:textId="77777777" w:rsidR="00D56A3D" w:rsidRDefault="00D56A3D" w:rsidP="0096046D"/>
    <w:p w14:paraId="133AD8E1" w14:textId="0F4EACBF" w:rsidR="00D56A3D" w:rsidRDefault="00AD629A" w:rsidP="0096046D">
      <w:r>
        <w:t>Within SJSU, s</w:t>
      </w:r>
      <w:r w:rsidR="00D56A3D">
        <w:t xml:space="preserve">pecific colleges and/or departments have “Research Day” or poster presentations/sessions in which undergraduate students present their findings from individual research </w:t>
      </w:r>
      <w:r>
        <w:t>projects. For instance, the</w:t>
      </w:r>
      <w:r w:rsidR="00D56A3D">
        <w:t xml:space="preserve"> College of Science has one, as does the Environmental Studies Department</w:t>
      </w:r>
      <w:r w:rsidR="00A35B34">
        <w:t xml:space="preserve"> (within the College of Social Science)</w:t>
      </w:r>
      <w:r w:rsidR="003C34E1">
        <w:t>, and the Computer Science Department may have in the past, although I found no evidence of one being held spring 2017. B</w:t>
      </w:r>
      <w:r>
        <w:t xml:space="preserve">oth </w:t>
      </w:r>
      <w:r w:rsidR="003C34E1">
        <w:t xml:space="preserve">the College of Science and Environmental Studies events </w:t>
      </w:r>
      <w:r>
        <w:t>are held in the spring as the academic year winds down</w:t>
      </w:r>
      <w:r w:rsidR="00D56A3D">
        <w:t xml:space="preserve">. </w:t>
      </w:r>
      <w:r>
        <w:t xml:space="preserve">It would be interesting to see </w:t>
      </w:r>
      <w:r w:rsidR="00F03F59">
        <w:t>if students would derive any</w:t>
      </w:r>
      <w:r w:rsidR="002F1848">
        <w:t xml:space="preserve"> </w:t>
      </w:r>
      <w:r w:rsidR="006D3179">
        <w:t>additional benefit</w:t>
      </w:r>
      <w:r w:rsidR="00F03F59">
        <w:t xml:space="preserve"> if the</w:t>
      </w:r>
      <w:r w:rsidR="006D3179">
        <w:t xml:space="preserve"> undergraduate research presentation events </w:t>
      </w:r>
      <w:r w:rsidR="00F03F59">
        <w:t xml:space="preserve">were combined </w:t>
      </w:r>
      <w:r>
        <w:t>into a campus-wide event with wider</w:t>
      </w:r>
      <w:r w:rsidR="002F1848">
        <w:t xml:space="preserve"> implications (for scholarship money, additional research presentation opportunities, etc.). The </w:t>
      </w:r>
      <w:r w:rsidR="00F03F59">
        <w:t>value</w:t>
      </w:r>
      <w:r w:rsidR="002F1848">
        <w:t xml:space="preserve"> </w:t>
      </w:r>
      <w:r w:rsidR="00F03F59">
        <w:t>in tying</w:t>
      </w:r>
      <w:r w:rsidR="002F1848">
        <w:t xml:space="preserve"> writing activities to a purposeful outcome may provide the context and practical application to focus student writing activities throughout the year (or, even more importantly, throughout their entire university experience). The challenge of increasing the scale of und</w:t>
      </w:r>
      <w:r w:rsidR="006D3179">
        <w:t>ergraduate research is the cost</w:t>
      </w:r>
      <w:r w:rsidR="002F1848">
        <w:t xml:space="preserve"> associated with this kind of program, which may not be supported in a public system (California State University).</w:t>
      </w:r>
    </w:p>
    <w:p w14:paraId="186B0EE6" w14:textId="77777777" w:rsidR="002E6596" w:rsidRDefault="002E6596" w:rsidP="0096046D"/>
    <w:p w14:paraId="26D7488A" w14:textId="4973751C" w:rsidR="00CF6221" w:rsidRDefault="002E6596" w:rsidP="0096046D">
      <w:r>
        <w:t xml:space="preserve">WAC and WC </w:t>
      </w:r>
      <w:r w:rsidR="006D3179">
        <w:t>provid</w:t>
      </w:r>
      <w:r w:rsidR="00C97786">
        <w:t>e</w:t>
      </w:r>
      <w:r>
        <w:t xml:space="preserve"> significant resources and support for faculty and students </w:t>
      </w:r>
      <w:r w:rsidR="00CF6221">
        <w:t xml:space="preserve">teaching or enrolled in </w:t>
      </w:r>
      <w:r>
        <w:t xml:space="preserve">writing </w:t>
      </w:r>
      <w:r w:rsidR="00CF6221">
        <w:t>courses at SJSU</w:t>
      </w:r>
      <w:r>
        <w:t>.</w:t>
      </w:r>
      <w:r w:rsidR="00CF6221">
        <w:t xml:space="preserve"> Additional support for STEM disciplines is available via</w:t>
      </w:r>
      <w:r>
        <w:t xml:space="preserve"> The Writing Fellows program</w:t>
      </w:r>
      <w:r w:rsidR="00CF6221">
        <w:t xml:space="preserve"> (joint WAC/WC program) via the use of embedded tutors in specific 100W classes. Currently, there are </w:t>
      </w:r>
      <w:r w:rsidR="003622E0">
        <w:t>W</w:t>
      </w:r>
      <w:r w:rsidR="00CF6221">
        <w:t xml:space="preserve">riting </w:t>
      </w:r>
      <w:r w:rsidR="003622E0">
        <w:t>F</w:t>
      </w:r>
      <w:r w:rsidR="00CF6221">
        <w:t xml:space="preserve">ellows available for </w:t>
      </w:r>
      <w:r w:rsidR="006D3179">
        <w:t xml:space="preserve">the following STEM disciplines: </w:t>
      </w:r>
      <w:r w:rsidR="00CF6221">
        <w:t>Computer Science, Engineering, and Environmental Studies. As this program grows, additional recruitment of STEM-specific tutors (that have taken and passed that department’s 100W) w</w:t>
      </w:r>
      <w:r w:rsidR="004A1060">
        <w:t>ill</w:t>
      </w:r>
      <w:r w:rsidR="00CF6221">
        <w:t xml:space="preserve"> provide additional in-class writing support for STEM students and instructors. </w:t>
      </w:r>
    </w:p>
    <w:p w14:paraId="1CAEB6AD" w14:textId="28363C65" w:rsidR="0079781B" w:rsidRDefault="0079781B" w:rsidP="0096046D"/>
    <w:p w14:paraId="37352D39" w14:textId="77777777" w:rsidR="0079781B" w:rsidRDefault="0079781B" w:rsidP="0079781B">
      <w:r>
        <w:t xml:space="preserve">It would be interesting to study and/or quantify the benefits of WAC and WC programs at SJSU in terms of their contributions to improvements in student learning in STEM for the faculty and students who use them versus those who do not, or to look at relationships between the benefit to research, writing, and editing skills and the amount of time spent with additional instruction and/or tutoring from any source (e.g., in-class with a professor or Writing Fellow, in the Writing Center’s workshops and/or one-on-one tutoring) and/or new assignments and/or pedagogy that develop from WAC seminars. </w:t>
      </w:r>
    </w:p>
    <w:p w14:paraId="43B7AE02" w14:textId="77777777" w:rsidR="0079781B" w:rsidRDefault="0079781B" w:rsidP="0096046D"/>
    <w:p w14:paraId="409F9EF8" w14:textId="77777777" w:rsidR="00E06645" w:rsidRPr="00E06645" w:rsidRDefault="00E06645" w:rsidP="00D56A3D"/>
    <w:p w14:paraId="5E961534" w14:textId="407FCFC6" w:rsidR="00E06645" w:rsidRPr="00E06645" w:rsidRDefault="00E06645" w:rsidP="00E06645">
      <w:pPr>
        <w:jc w:val="center"/>
      </w:pPr>
      <w:r w:rsidRPr="00E06645">
        <w:t>Within STEM Departments</w:t>
      </w:r>
    </w:p>
    <w:p w14:paraId="3EB8541E" w14:textId="77777777" w:rsidR="00E06645" w:rsidRDefault="00E06645" w:rsidP="00E06645">
      <w:pPr>
        <w:jc w:val="center"/>
      </w:pPr>
    </w:p>
    <w:p w14:paraId="14932338" w14:textId="167E02AC" w:rsidR="00D56A3D" w:rsidRDefault="00D56A3D" w:rsidP="00D56A3D">
      <w:r>
        <w:t xml:space="preserve">I am not aware of any STEM departments on campus that scaffold </w:t>
      </w:r>
      <w:r w:rsidR="00AD629A">
        <w:t>their writing skills over several upper-division courses</w:t>
      </w:r>
      <w:r w:rsidR="0079781B">
        <w:t>, that use a hierarchical structure to provide additional teaching opportunities in writing-intensive courses (faculty and teaching assistants),</w:t>
      </w:r>
      <w:r w:rsidR="00AD629A">
        <w:t xml:space="preserve"> or that take writing samples from </w:t>
      </w:r>
      <w:r w:rsidR="003622E0">
        <w:t>first-</w:t>
      </w:r>
      <w:r w:rsidR="00AD629A">
        <w:t>year students and graduating seniors for comparison</w:t>
      </w:r>
      <w:r w:rsidR="002E6596">
        <w:t xml:space="preserve"> (</w:t>
      </w:r>
      <w:r w:rsidR="0079781B">
        <w:t>t</w:t>
      </w:r>
      <w:r w:rsidR="002E6596">
        <w:t>he collaboration responses from STEM 100W instructors only indicated collaboration with fellow 100W instructors</w:t>
      </w:r>
      <w:r w:rsidR="003622E0">
        <w:t>.</w:t>
      </w:r>
      <w:r w:rsidR="002E6596">
        <w:t>)</w:t>
      </w:r>
      <w:r w:rsidR="00AD629A">
        <w:t xml:space="preserve"> </w:t>
      </w:r>
      <w:r w:rsidR="002E6596">
        <w:t xml:space="preserve">I am also curious </w:t>
      </w:r>
      <w:r w:rsidR="00AD629A">
        <w:t>if there are any STEM departments that require that a writing portfolio be submitted as a graduation requirement.</w:t>
      </w:r>
      <w:r w:rsidR="002E6596">
        <w:t xml:space="preserve"> </w:t>
      </w:r>
      <w:r w:rsidR="0079781B">
        <w:t>All</w:t>
      </w:r>
      <w:r w:rsidR="002E6596">
        <w:t xml:space="preserve"> of these approaches could be utilized </w:t>
      </w:r>
      <w:r w:rsidR="002E6596">
        <w:lastRenderedPageBreak/>
        <w:t>to quantify department-wide writing assessments and utilized to analyze the outcome of any subsequent programming changes</w:t>
      </w:r>
      <w:r w:rsidR="0079781B">
        <w:t xml:space="preserve">, or to draft and implement clear departmental goals and expectations for writing, including realistic writing expectations of graduating seniors. </w:t>
      </w:r>
      <w:r w:rsidR="002E6596">
        <w:t>The implementation and quantitative output of a department-wide assessment system like this could inform all levels of writing programming across the university, including first-year writing classes and WAC and WC programming.</w:t>
      </w:r>
    </w:p>
    <w:p w14:paraId="7A5513B7" w14:textId="388B2382" w:rsidR="0079781B" w:rsidRDefault="0079781B" w:rsidP="0079781B"/>
    <w:p w14:paraId="2CE23BEF" w14:textId="77777777" w:rsidR="0079781B" w:rsidRDefault="0079781B" w:rsidP="0079781B">
      <w:r w:rsidRPr="00781E61">
        <w:t xml:space="preserve">Additionally, I am curious as to whether any STEM departments work with any professionals/practitioners in their fields in regard to student writing. I know that there are a number of STEM 100W classes that require students to interview professionals in their field of interest, but am not aware of any department that has collaborated with alumni to mentor STEM writing students similar to Duke’s Reader Project (Moskovitz 2011), or developed a department-wide curriculum with practitioners and linguists and writing specialists like The Civil Engineering Writing Project at Portland State University, Cal Poly Pomona, Howard University, and </w:t>
      </w:r>
      <w:r w:rsidRPr="00BB0BD6">
        <w:t>La</w:t>
      </w:r>
      <w:r>
        <w:t>wrence Technological University (Conrad, et al. 2015). And, if no similar collaborations exist, it would be helpful to know if the resources and will are present for the development of such programs at SJSU, or within STEM departments at SJSU.</w:t>
      </w:r>
    </w:p>
    <w:p w14:paraId="14FD72DC" w14:textId="77777777" w:rsidR="00D56A3D" w:rsidRPr="00E06645" w:rsidRDefault="00D56A3D" w:rsidP="00D56A3D"/>
    <w:p w14:paraId="0252C6B6" w14:textId="5DADC30D" w:rsidR="00E06645" w:rsidRDefault="002B50FB" w:rsidP="00E06645">
      <w:pPr>
        <w:jc w:val="center"/>
      </w:pPr>
      <w:r>
        <w:t>For Individual C</w:t>
      </w:r>
      <w:r w:rsidR="00E06645" w:rsidRPr="00E06645">
        <w:t>lasses</w:t>
      </w:r>
    </w:p>
    <w:p w14:paraId="6D9BBEC7" w14:textId="77777777" w:rsidR="00384767" w:rsidRPr="00E06645" w:rsidRDefault="00384767" w:rsidP="00E06645">
      <w:pPr>
        <w:jc w:val="center"/>
      </w:pPr>
    </w:p>
    <w:p w14:paraId="5D6FC178" w14:textId="5380C3C5" w:rsidR="00B42C98" w:rsidRDefault="00384767" w:rsidP="004D36F7">
      <w:r>
        <w:t>Results of the SJSU survey of 100W instructors in STEM disciplines</w:t>
      </w:r>
      <w:r w:rsidR="003B3AAC">
        <w:t xml:space="preserve"> indicate that the majority of these instructors incorporate the techniques and approaches reported in the literature, including the use of detailed rubrics, scaffolding assignments, providing clear and detailed instructions/writing prompts, </w:t>
      </w:r>
      <w:r w:rsidR="0079781B">
        <w:t xml:space="preserve">employing </w:t>
      </w:r>
      <w:r w:rsidR="003B3AAC">
        <w:t xml:space="preserve">language-based pedagogy, providing feedback on early drafts and revisions, providing examples of professional writing, and working with tutors. </w:t>
      </w:r>
      <w:r w:rsidR="0079673E">
        <w:t xml:space="preserve">Individual instructors wanting additional support for </w:t>
      </w:r>
      <w:r>
        <w:t>teaching writing in STEM 100W classes benefit from WAC programming</w:t>
      </w:r>
      <w:r w:rsidR="0079673E">
        <w:t>, including</w:t>
      </w:r>
      <w:r w:rsidR="003622E0">
        <w:t xml:space="preserve"> workshops such as, </w:t>
      </w:r>
      <w:r w:rsidR="0079673E">
        <w:t>“Discovering eCampus Resources for Writing Instructors</w:t>
      </w:r>
      <w:r w:rsidR="003622E0">
        <w:t>,</w:t>
      </w:r>
      <w:r w:rsidR="0079673E">
        <w:t>” “Working with Multilingual Writers</w:t>
      </w:r>
      <w:r w:rsidR="003622E0">
        <w:t>,</w:t>
      </w:r>
      <w:r w:rsidR="0079673E">
        <w:t>” “Providing Feedback on Student Writing</w:t>
      </w:r>
      <w:r w:rsidR="003622E0">
        <w:t>,</w:t>
      </w:r>
      <w:r w:rsidR="0079673E">
        <w:t>”</w:t>
      </w:r>
      <w:r w:rsidR="003622E0">
        <w:t xml:space="preserve"> and </w:t>
      </w:r>
      <w:r w:rsidR="0079673E">
        <w:t>“Designing Effective Assignments and Assignment Sequences</w:t>
      </w:r>
      <w:r w:rsidR="003622E0">
        <w:t>” (among others)</w:t>
      </w:r>
      <w:r w:rsidR="0079673E">
        <w:t xml:space="preserve">. These seminars help streamline course organization, feedback, and grading, and </w:t>
      </w:r>
      <w:r w:rsidR="003622E0">
        <w:t xml:space="preserve">they </w:t>
      </w:r>
      <w:r w:rsidR="0079673E">
        <w:t>create and support a collaborative network of instructors. Several STEM writing instructors have expressed interest in sharing and collaboration</w:t>
      </w:r>
      <w:r w:rsidR="00B42C98">
        <w:t xml:space="preserve"> specific to STEM fields</w:t>
      </w:r>
      <w:r w:rsidR="0079673E">
        <w:t>, and WAC may provide the structure to support these needs, both at large and as subgroup of instructors that focus on the specific needs of STEM students and faculty.</w:t>
      </w:r>
    </w:p>
    <w:p w14:paraId="798C0E4B" w14:textId="0714046B" w:rsidR="00E06645" w:rsidRPr="00B15B35" w:rsidRDefault="006426BA" w:rsidP="00C3466D">
      <w:pPr>
        <w:jc w:val="center"/>
        <w:rPr>
          <w:b/>
        </w:rPr>
      </w:pPr>
      <w:r>
        <w:rPr>
          <w:highlight w:val="yellow"/>
        </w:rPr>
        <w:br w:type="page"/>
      </w:r>
      <w:r w:rsidR="00C3466D" w:rsidRPr="00C3466D">
        <w:rPr>
          <w:b/>
        </w:rPr>
        <w:lastRenderedPageBreak/>
        <w:t>R</w:t>
      </w:r>
      <w:r w:rsidRPr="00B15B35">
        <w:rPr>
          <w:b/>
        </w:rPr>
        <w:t>eferences</w:t>
      </w:r>
    </w:p>
    <w:p w14:paraId="535B53B1" w14:textId="77777777" w:rsidR="006426BA" w:rsidRDefault="006426BA" w:rsidP="006426BA">
      <w:pPr>
        <w:jc w:val="center"/>
      </w:pPr>
    </w:p>
    <w:p w14:paraId="7F3FFFCC" w14:textId="615790F6" w:rsidR="00FD1C98" w:rsidRPr="001708B8" w:rsidRDefault="00FD1C98" w:rsidP="001708B8">
      <w:pPr>
        <w:widowControl w:val="0"/>
        <w:autoSpaceDE w:val="0"/>
        <w:autoSpaceDN w:val="0"/>
        <w:adjustRightInd w:val="0"/>
        <w:spacing w:after="240" w:line="300" w:lineRule="atLeast"/>
        <w:ind w:left="720" w:hanging="720"/>
        <w:rPr>
          <w:rFonts w:cs="Times"/>
        </w:rPr>
      </w:pPr>
      <w:r w:rsidRPr="001708B8">
        <w:rPr>
          <w:rFonts w:cs="Times New Roman"/>
        </w:rPr>
        <w:t>Bharuthram</w:t>
      </w:r>
      <w:r w:rsidR="001708B8" w:rsidRPr="001708B8">
        <w:rPr>
          <w:rFonts w:cs="Times New Roman"/>
        </w:rPr>
        <w:t>,</w:t>
      </w:r>
      <w:r w:rsidRPr="001708B8">
        <w:rPr>
          <w:rFonts w:cs="Times New Roman"/>
        </w:rPr>
        <w:t xml:space="preserve"> S</w:t>
      </w:r>
      <w:r w:rsidR="001708B8" w:rsidRPr="001708B8">
        <w:rPr>
          <w:rFonts w:cs="Times New Roman"/>
        </w:rPr>
        <w:t>.</w:t>
      </w:r>
      <w:r w:rsidRPr="001708B8">
        <w:rPr>
          <w:rFonts w:cs="Times New Roman"/>
        </w:rPr>
        <w:t xml:space="preserve"> and </w:t>
      </w:r>
      <w:r w:rsidR="001708B8" w:rsidRPr="001708B8">
        <w:rPr>
          <w:rFonts w:cs="Times New Roman"/>
        </w:rPr>
        <w:t xml:space="preserve">S. </w:t>
      </w:r>
      <w:r w:rsidRPr="001708B8">
        <w:rPr>
          <w:rFonts w:cs="Times New Roman"/>
        </w:rPr>
        <w:t>McKenna</w:t>
      </w:r>
      <w:r w:rsidR="001708B8" w:rsidRPr="001708B8">
        <w:rPr>
          <w:rFonts w:cs="Times New Roman"/>
        </w:rPr>
        <w:t xml:space="preserve">. </w:t>
      </w:r>
      <w:r w:rsidRPr="001708B8">
        <w:rPr>
          <w:rFonts w:cs="Times New Roman"/>
        </w:rPr>
        <w:t>2006</w:t>
      </w:r>
      <w:r w:rsidR="001708B8" w:rsidRPr="001708B8">
        <w:rPr>
          <w:rFonts w:cs="Times New Roman"/>
        </w:rPr>
        <w:t>.</w:t>
      </w:r>
      <w:r w:rsidRPr="001708B8">
        <w:rPr>
          <w:rFonts w:cs="Times New Roman"/>
        </w:rPr>
        <w:t xml:space="preserve"> A writer-respondent intervention as a means of developing academic literacy. </w:t>
      </w:r>
      <w:r w:rsidRPr="001708B8">
        <w:rPr>
          <w:rFonts w:cs="Times"/>
          <w:i/>
          <w:iCs/>
        </w:rPr>
        <w:t xml:space="preserve">Teaching in Higher Education </w:t>
      </w:r>
      <w:r w:rsidRPr="001708B8">
        <w:rPr>
          <w:rFonts w:cs="Times New Roman"/>
        </w:rPr>
        <w:t>11(4): 495–507.</w:t>
      </w:r>
      <w:r w:rsidRPr="001708B8">
        <w:rPr>
          <w:rFonts w:ascii="MS Mincho" w:eastAsia="MS Mincho" w:hAnsi="MS Mincho" w:cs="MS Mincho"/>
        </w:rPr>
        <w:t> </w:t>
      </w:r>
    </w:p>
    <w:p w14:paraId="1A228F94" w14:textId="706ABF25" w:rsidR="006426BA" w:rsidRPr="001708B8" w:rsidRDefault="006426BA" w:rsidP="001708B8">
      <w:pPr>
        <w:widowControl w:val="0"/>
        <w:autoSpaceDE w:val="0"/>
        <w:autoSpaceDN w:val="0"/>
        <w:adjustRightInd w:val="0"/>
        <w:spacing w:after="240" w:line="320" w:lineRule="atLeast"/>
        <w:ind w:left="720" w:hanging="720"/>
        <w:rPr>
          <w:rFonts w:cs="Times"/>
        </w:rPr>
      </w:pPr>
      <w:r w:rsidRPr="001708B8">
        <w:rPr>
          <w:rFonts w:cs="Times"/>
        </w:rPr>
        <w:t xml:space="preserve">Chapman, D. 2003. </w:t>
      </w:r>
      <w:r w:rsidR="001708B8" w:rsidRPr="001708B8">
        <w:rPr>
          <w:rFonts w:cs="Times"/>
        </w:rPr>
        <w:t>“</w:t>
      </w:r>
      <w:r w:rsidRPr="001708B8">
        <w:rPr>
          <w:rFonts w:cs="Times"/>
        </w:rPr>
        <w:t>Undergraduate Research and the Mandate for Writing Assessment.</w:t>
      </w:r>
      <w:r w:rsidR="001708B8" w:rsidRPr="001708B8">
        <w:rPr>
          <w:rFonts w:cs="Times"/>
        </w:rPr>
        <w:t>”</w:t>
      </w:r>
      <w:r w:rsidRPr="001708B8">
        <w:rPr>
          <w:rFonts w:cs="Times"/>
        </w:rPr>
        <w:t xml:space="preserve"> </w:t>
      </w:r>
      <w:r w:rsidRPr="001708B8">
        <w:rPr>
          <w:rFonts w:cs="Times"/>
          <w:i/>
        </w:rPr>
        <w:t>AAC&amp;E</w:t>
      </w:r>
      <w:r w:rsidRPr="001708B8">
        <w:rPr>
          <w:rFonts w:cs="Times"/>
        </w:rPr>
        <w:t xml:space="preserve">. Fall 2003 peerReview. (Analysis). </w:t>
      </w:r>
    </w:p>
    <w:p w14:paraId="0EF3E3F6" w14:textId="77777777" w:rsidR="006426BA" w:rsidRPr="001708B8" w:rsidRDefault="006426BA" w:rsidP="001708B8">
      <w:pPr>
        <w:ind w:left="720" w:hanging="720"/>
      </w:pPr>
      <w:r w:rsidRPr="001708B8">
        <w:t xml:space="preserve">Conrad, S., W.A. Kitch, T.J. Pfeiffer, T.R. Smith, and J.V. Tocco. 2015. “Students Writing for Professional Practice: A model for collaboration among, faculty, practitioners, and Writing Specialists.” </w:t>
      </w:r>
      <w:r w:rsidRPr="001708B8">
        <w:rPr>
          <w:i/>
        </w:rPr>
        <w:t>American Society for Engineering Education annual conference &amp; exposition proceedings</w:t>
      </w:r>
      <w:r w:rsidRPr="001708B8">
        <w:t>. June 14-17, 2015. Seattle, WA.</w:t>
      </w:r>
    </w:p>
    <w:p w14:paraId="03269E2D" w14:textId="77777777" w:rsidR="006426BA" w:rsidRPr="001708B8" w:rsidRDefault="006426BA" w:rsidP="001708B8">
      <w:pPr>
        <w:ind w:left="720" w:hanging="720"/>
      </w:pPr>
    </w:p>
    <w:p w14:paraId="00F1450F" w14:textId="48E4FD63" w:rsidR="001708B8" w:rsidRPr="001708B8" w:rsidRDefault="001708B8" w:rsidP="001708B8">
      <w:pPr>
        <w:widowControl w:val="0"/>
        <w:autoSpaceDE w:val="0"/>
        <w:autoSpaceDN w:val="0"/>
        <w:adjustRightInd w:val="0"/>
        <w:spacing w:after="240" w:line="320" w:lineRule="atLeast"/>
        <w:ind w:left="720" w:hanging="720"/>
        <w:rPr>
          <w:rFonts w:cs="Times"/>
        </w:rPr>
      </w:pPr>
      <w:r w:rsidRPr="001708B8">
        <w:rPr>
          <w:rFonts w:cs="Times"/>
        </w:rPr>
        <w:t xml:space="preserve">Cook, S. 2017. </w:t>
      </w:r>
      <w:r w:rsidRPr="001708B8">
        <w:rPr>
          <w:rFonts w:cs="Times"/>
          <w:i/>
        </w:rPr>
        <w:t>Providing Feedback on Student Writing</w:t>
      </w:r>
      <w:r w:rsidRPr="001708B8">
        <w:rPr>
          <w:rFonts w:cs="Times"/>
        </w:rPr>
        <w:t xml:space="preserve">. Writing Across the Curriculum, San Jose State University. Accessed May 1, 2017. </w:t>
      </w:r>
      <w:hyperlink r:id="rId9" w:history="1">
        <w:r w:rsidRPr="001708B8">
          <w:rPr>
            <w:rStyle w:val="Hyperlink"/>
            <w:rFonts w:cs="Times"/>
          </w:rPr>
          <w:t>http://www.sjsu.edu/wac/pages/seminars-and-workshops/workshops-f16/handouts-and-notes/cook/index.html</w:t>
        </w:r>
      </w:hyperlink>
      <w:r w:rsidRPr="001708B8">
        <w:rPr>
          <w:rFonts w:cs="Times"/>
        </w:rPr>
        <w:t xml:space="preserve"> </w:t>
      </w:r>
    </w:p>
    <w:p w14:paraId="6192CBB2" w14:textId="42F2F29E" w:rsidR="006426BA" w:rsidRPr="001708B8" w:rsidRDefault="006426BA" w:rsidP="001708B8">
      <w:pPr>
        <w:widowControl w:val="0"/>
        <w:autoSpaceDE w:val="0"/>
        <w:autoSpaceDN w:val="0"/>
        <w:adjustRightInd w:val="0"/>
        <w:spacing w:after="240" w:line="320" w:lineRule="atLeast"/>
        <w:ind w:left="720" w:hanging="720"/>
        <w:rPr>
          <w:rFonts w:cs="Times"/>
        </w:rPr>
      </w:pPr>
      <w:r w:rsidRPr="001708B8">
        <w:rPr>
          <w:rFonts w:cs="Times"/>
        </w:rPr>
        <w:t xml:space="preserve">Fallahi C.R., R.M. Wood, and C.S. Austad. 2006. A Program for Improving Undergraduate Psychology Students’ Basic Writing Skills. </w:t>
      </w:r>
      <w:r w:rsidRPr="001708B8">
        <w:rPr>
          <w:rFonts w:cs="Times"/>
          <w:i/>
        </w:rPr>
        <w:t>Teaching of Psychology</w:t>
      </w:r>
      <w:r w:rsidRPr="001708B8">
        <w:rPr>
          <w:rFonts w:cs="Times"/>
        </w:rPr>
        <w:t xml:space="preserve"> 33(3):171-175. </w:t>
      </w:r>
    </w:p>
    <w:p w14:paraId="4BAD876D" w14:textId="674FD8C1" w:rsidR="006426BA" w:rsidRPr="001708B8" w:rsidRDefault="006426BA" w:rsidP="001708B8">
      <w:pPr>
        <w:widowControl w:val="0"/>
        <w:autoSpaceDE w:val="0"/>
        <w:autoSpaceDN w:val="0"/>
        <w:adjustRightInd w:val="0"/>
        <w:spacing w:after="240" w:line="320" w:lineRule="atLeast"/>
        <w:ind w:left="720" w:hanging="720"/>
        <w:rPr>
          <w:rFonts w:cs="Times"/>
        </w:rPr>
      </w:pPr>
      <w:r w:rsidRPr="001708B8">
        <w:rPr>
          <w:rFonts w:cs="Times"/>
        </w:rPr>
        <w:t xml:space="preserve">Fister, B. 1993. </w:t>
      </w:r>
      <w:r w:rsidR="001708B8" w:rsidRPr="001708B8">
        <w:rPr>
          <w:rFonts w:cs="Times"/>
        </w:rPr>
        <w:t>“</w:t>
      </w:r>
      <w:r w:rsidRPr="001708B8">
        <w:rPr>
          <w:rFonts w:cs="Times"/>
        </w:rPr>
        <w:t>Teaching the Rhetorical Dimensions of Research</w:t>
      </w:r>
      <w:r w:rsidR="001708B8" w:rsidRPr="001708B8">
        <w:rPr>
          <w:rFonts w:cs="Times"/>
        </w:rPr>
        <w:t>”</w:t>
      </w:r>
      <w:r w:rsidRPr="001708B8">
        <w:rPr>
          <w:rFonts w:cs="Times"/>
        </w:rPr>
        <w:t xml:space="preserve">. </w:t>
      </w:r>
      <w:r w:rsidRPr="001708B8">
        <w:rPr>
          <w:rFonts w:cs="Times"/>
          <w:i/>
        </w:rPr>
        <w:t>Research Strategies</w:t>
      </w:r>
      <w:r w:rsidRPr="001708B8">
        <w:rPr>
          <w:rFonts w:cs="Times"/>
        </w:rPr>
        <w:t xml:space="preserve"> 11.4: 211-219.</w:t>
      </w:r>
    </w:p>
    <w:p w14:paraId="40A1BB2E" w14:textId="00F92F07" w:rsidR="00FD1C98" w:rsidRPr="001708B8" w:rsidRDefault="001708B8" w:rsidP="001708B8">
      <w:pPr>
        <w:widowControl w:val="0"/>
        <w:autoSpaceDE w:val="0"/>
        <w:autoSpaceDN w:val="0"/>
        <w:adjustRightInd w:val="0"/>
        <w:spacing w:after="240" w:line="280" w:lineRule="atLeast"/>
        <w:ind w:left="720" w:hanging="720"/>
        <w:rPr>
          <w:rFonts w:cs="Times"/>
        </w:rPr>
      </w:pPr>
      <w:r w:rsidRPr="001708B8">
        <w:rPr>
          <w:rFonts w:cs="Times"/>
        </w:rPr>
        <w:t>Gambell, T. 1984</w:t>
      </w:r>
      <w:r w:rsidR="00FD1C98" w:rsidRPr="001708B8">
        <w:rPr>
          <w:rFonts w:cs="Times"/>
        </w:rPr>
        <w:t xml:space="preserve">. </w:t>
      </w:r>
      <w:r w:rsidRPr="001708B8">
        <w:rPr>
          <w:rFonts w:cs="Times"/>
        </w:rPr>
        <w:t>“</w:t>
      </w:r>
      <w:r w:rsidR="00FD1C98" w:rsidRPr="001708B8">
        <w:rPr>
          <w:rFonts w:cs="Times"/>
        </w:rPr>
        <w:t>The great demise? Students’ writing in a college of education.</w:t>
      </w:r>
      <w:r w:rsidRPr="001708B8">
        <w:rPr>
          <w:rFonts w:cs="Times"/>
        </w:rPr>
        <w:t>”</w:t>
      </w:r>
      <w:r w:rsidR="00FD1C98" w:rsidRPr="001708B8">
        <w:rPr>
          <w:rFonts w:cs="Times"/>
        </w:rPr>
        <w:t xml:space="preserve"> </w:t>
      </w:r>
      <w:r w:rsidR="00FD1C98" w:rsidRPr="001708B8">
        <w:rPr>
          <w:rFonts w:cs="Times"/>
          <w:i/>
          <w:iCs/>
        </w:rPr>
        <w:t xml:space="preserve">English Quarterly, 16, </w:t>
      </w:r>
      <w:r w:rsidR="00FD1C98" w:rsidRPr="001708B8">
        <w:rPr>
          <w:rFonts w:cs="Times"/>
        </w:rPr>
        <w:t xml:space="preserve">23–25. </w:t>
      </w:r>
    </w:p>
    <w:p w14:paraId="7B16BBDC" w14:textId="63EB8243" w:rsidR="00FD1C98" w:rsidRPr="001708B8" w:rsidRDefault="00B52799" w:rsidP="001708B8">
      <w:pPr>
        <w:widowControl w:val="0"/>
        <w:autoSpaceDE w:val="0"/>
        <w:autoSpaceDN w:val="0"/>
        <w:adjustRightInd w:val="0"/>
        <w:spacing w:after="240" w:line="300" w:lineRule="atLeast"/>
        <w:ind w:left="720" w:hanging="720"/>
        <w:rPr>
          <w:rFonts w:cs="Times New Roman"/>
        </w:rPr>
      </w:pPr>
      <w:r w:rsidRPr="001708B8">
        <w:rPr>
          <w:rFonts w:cs="Times New Roman"/>
        </w:rPr>
        <w:t xml:space="preserve">Gooblar, D. 2017. “Why Students Hate Peer Review.” </w:t>
      </w:r>
      <w:r w:rsidRPr="001708B8">
        <w:rPr>
          <w:rFonts w:cs="Times New Roman"/>
          <w:i/>
        </w:rPr>
        <w:t>Chronicle Vitae</w:t>
      </w:r>
      <w:r w:rsidRPr="001708B8">
        <w:rPr>
          <w:rFonts w:cs="Times New Roman"/>
        </w:rPr>
        <w:t>. Accessed May 1, 2017. https://chroniclevitae.com/news/1718-why-students-hate-peer-review</w:t>
      </w:r>
    </w:p>
    <w:p w14:paraId="066C12B7" w14:textId="066EFC0F" w:rsidR="00FD1C98" w:rsidRPr="001708B8" w:rsidRDefault="00B52799" w:rsidP="001708B8">
      <w:pPr>
        <w:widowControl w:val="0"/>
        <w:autoSpaceDE w:val="0"/>
        <w:autoSpaceDN w:val="0"/>
        <w:adjustRightInd w:val="0"/>
        <w:spacing w:after="240" w:line="300" w:lineRule="atLeast"/>
        <w:ind w:left="720" w:hanging="720"/>
        <w:rPr>
          <w:rFonts w:cs="Times"/>
        </w:rPr>
      </w:pPr>
      <w:r w:rsidRPr="001708B8">
        <w:rPr>
          <w:rFonts w:cs="Times New Roman"/>
        </w:rPr>
        <w:t>Hounsell, D. 1987.</w:t>
      </w:r>
      <w:r w:rsidR="00FD1C98" w:rsidRPr="001708B8">
        <w:rPr>
          <w:rFonts w:cs="Times New Roman"/>
        </w:rPr>
        <w:t xml:space="preserve"> Towards an anatomy of academic discourse: Meaning and context in the undergraduate essay. In: Saljö R (ed.) </w:t>
      </w:r>
      <w:r w:rsidR="00FD1C98" w:rsidRPr="001708B8">
        <w:rPr>
          <w:rFonts w:cs="Times"/>
          <w:i/>
          <w:iCs/>
        </w:rPr>
        <w:t>The Written World: Studies in Literate Thought and Action</w:t>
      </w:r>
      <w:r w:rsidR="00FD1C98" w:rsidRPr="001708B8">
        <w:rPr>
          <w:rFonts w:cs="Times New Roman"/>
        </w:rPr>
        <w:t>. Berlin: Springer-Verlag, pp. 161–77.</w:t>
      </w:r>
      <w:r w:rsidR="00FD1C98" w:rsidRPr="001708B8">
        <w:rPr>
          <w:rFonts w:ascii="MS Mincho" w:eastAsia="MS Mincho" w:hAnsi="MS Mincho" w:cs="MS Mincho"/>
        </w:rPr>
        <w:t> </w:t>
      </w:r>
    </w:p>
    <w:p w14:paraId="136F776C" w14:textId="189589EB" w:rsidR="00FD1C98" w:rsidRPr="001708B8" w:rsidRDefault="00FD1C98" w:rsidP="001708B8">
      <w:pPr>
        <w:widowControl w:val="0"/>
        <w:autoSpaceDE w:val="0"/>
        <w:autoSpaceDN w:val="0"/>
        <w:adjustRightInd w:val="0"/>
        <w:spacing w:after="240" w:line="300" w:lineRule="atLeast"/>
        <w:ind w:left="720" w:hanging="720"/>
        <w:rPr>
          <w:rFonts w:cs="Times"/>
        </w:rPr>
      </w:pPr>
      <w:r w:rsidRPr="001708B8">
        <w:rPr>
          <w:rFonts w:cs="Times New Roman"/>
        </w:rPr>
        <w:t>Lea</w:t>
      </w:r>
      <w:r w:rsidR="001708B8" w:rsidRPr="001708B8">
        <w:rPr>
          <w:rFonts w:cs="Times New Roman"/>
        </w:rPr>
        <w:t>,</w:t>
      </w:r>
      <w:r w:rsidRPr="001708B8">
        <w:rPr>
          <w:rFonts w:cs="Times New Roman"/>
        </w:rPr>
        <w:t xml:space="preserve"> M</w:t>
      </w:r>
      <w:r w:rsidR="001708B8" w:rsidRPr="001708B8">
        <w:rPr>
          <w:rFonts w:cs="Times New Roman"/>
        </w:rPr>
        <w:t>.</w:t>
      </w:r>
      <w:r w:rsidRPr="001708B8">
        <w:rPr>
          <w:rFonts w:cs="Times New Roman"/>
        </w:rPr>
        <w:t xml:space="preserve"> and Street</w:t>
      </w:r>
      <w:r w:rsidR="001708B8" w:rsidRPr="001708B8">
        <w:rPr>
          <w:rFonts w:cs="Times New Roman"/>
        </w:rPr>
        <w:t>,</w:t>
      </w:r>
      <w:r w:rsidRPr="001708B8">
        <w:rPr>
          <w:rFonts w:cs="Times New Roman"/>
        </w:rPr>
        <w:t xml:space="preserve"> B</w:t>
      </w:r>
      <w:r w:rsidR="001708B8" w:rsidRPr="001708B8">
        <w:rPr>
          <w:rFonts w:cs="Times New Roman"/>
        </w:rPr>
        <w:t>. 1998.</w:t>
      </w:r>
      <w:r w:rsidRPr="001708B8">
        <w:rPr>
          <w:rFonts w:cs="Times New Roman"/>
        </w:rPr>
        <w:t xml:space="preserve"> </w:t>
      </w:r>
      <w:r w:rsidR="001708B8" w:rsidRPr="001708B8">
        <w:rPr>
          <w:rFonts w:cs="Times New Roman"/>
        </w:rPr>
        <w:t>“</w:t>
      </w:r>
      <w:r w:rsidRPr="001708B8">
        <w:rPr>
          <w:rFonts w:cs="Times New Roman"/>
        </w:rPr>
        <w:t>Student writing in higher education: An academic literacies approach.</w:t>
      </w:r>
      <w:r w:rsidR="001708B8" w:rsidRPr="001708B8">
        <w:rPr>
          <w:rFonts w:cs="Times New Roman"/>
        </w:rPr>
        <w:t>”</w:t>
      </w:r>
      <w:r w:rsidRPr="001708B8">
        <w:rPr>
          <w:rFonts w:cs="Times New Roman"/>
        </w:rPr>
        <w:t xml:space="preserve"> </w:t>
      </w:r>
      <w:r w:rsidRPr="001708B8">
        <w:rPr>
          <w:rFonts w:cs="Times"/>
          <w:i/>
          <w:iCs/>
        </w:rPr>
        <w:t xml:space="preserve">Studies in Higher Education </w:t>
      </w:r>
      <w:r w:rsidRPr="001708B8">
        <w:rPr>
          <w:rFonts w:cs="Times New Roman"/>
        </w:rPr>
        <w:t xml:space="preserve">11(3): 182–99. </w:t>
      </w:r>
    </w:p>
    <w:p w14:paraId="6DF96CE8" w14:textId="0C0EBE02" w:rsidR="00FD1C98" w:rsidRPr="001708B8" w:rsidRDefault="0042394B" w:rsidP="001708B8">
      <w:pPr>
        <w:widowControl w:val="0"/>
        <w:autoSpaceDE w:val="0"/>
        <w:autoSpaceDN w:val="0"/>
        <w:adjustRightInd w:val="0"/>
        <w:spacing w:after="240" w:line="280" w:lineRule="atLeast"/>
        <w:ind w:left="720" w:hanging="720"/>
        <w:rPr>
          <w:rFonts w:cs="Times"/>
        </w:rPr>
      </w:pPr>
      <w:r w:rsidRPr="001708B8">
        <w:rPr>
          <w:rFonts w:cs="Times"/>
        </w:rPr>
        <w:t xml:space="preserve">Lemke, J.L. 1998. </w:t>
      </w:r>
      <w:r w:rsidR="001708B8" w:rsidRPr="001708B8">
        <w:rPr>
          <w:rFonts w:cs="Times"/>
        </w:rPr>
        <w:t>“</w:t>
      </w:r>
      <w:r w:rsidRPr="001708B8">
        <w:rPr>
          <w:rFonts w:cs="Times"/>
        </w:rPr>
        <w:t xml:space="preserve">Metamedia literacy: Transforming </w:t>
      </w:r>
      <w:r w:rsidR="00FD1C98" w:rsidRPr="001708B8">
        <w:rPr>
          <w:rFonts w:cs="Times"/>
        </w:rPr>
        <w:t>meanings and media.</w:t>
      </w:r>
      <w:r w:rsidR="001708B8" w:rsidRPr="001708B8">
        <w:rPr>
          <w:rFonts w:cs="Times"/>
        </w:rPr>
        <w:t>”</w:t>
      </w:r>
      <w:r w:rsidR="00FD1C98" w:rsidRPr="001708B8">
        <w:rPr>
          <w:rFonts w:cs="Times"/>
        </w:rPr>
        <w:t xml:space="preserve"> In </w:t>
      </w:r>
      <w:r w:rsidR="00FD1C98" w:rsidRPr="001708B8">
        <w:rPr>
          <w:rFonts w:cs="Times"/>
          <w:i/>
          <w:iCs/>
        </w:rPr>
        <w:t>Handbook of Literacy and Technology: Transformations in a Post-Typographic World</w:t>
      </w:r>
      <w:r w:rsidR="00FD1C98" w:rsidRPr="001708B8">
        <w:rPr>
          <w:rFonts w:cs="Times"/>
        </w:rPr>
        <w:t xml:space="preserve">, eds. D. Reinking, L. Labbo, M. McKenna, and R. Kiefer, 283–301. Hillsdale, NJ: Erlbaum. </w:t>
      </w:r>
    </w:p>
    <w:p w14:paraId="0AC3EA8D" w14:textId="740EB8AD" w:rsidR="006426BA" w:rsidRPr="001708B8" w:rsidRDefault="006426BA" w:rsidP="001708B8">
      <w:pPr>
        <w:widowControl w:val="0"/>
        <w:autoSpaceDE w:val="0"/>
        <w:autoSpaceDN w:val="0"/>
        <w:adjustRightInd w:val="0"/>
        <w:spacing w:after="240" w:line="320" w:lineRule="atLeast"/>
        <w:ind w:left="720" w:hanging="720"/>
        <w:rPr>
          <w:rFonts w:cs="Times"/>
        </w:rPr>
      </w:pPr>
      <w:r w:rsidRPr="001708B8">
        <w:rPr>
          <w:rFonts w:cs="Times"/>
        </w:rPr>
        <w:t xml:space="preserve">Melzer, D. and P. Zemliansky. 2003. </w:t>
      </w:r>
      <w:r w:rsidR="001708B8" w:rsidRPr="001708B8">
        <w:rPr>
          <w:rFonts w:cs="Times"/>
        </w:rPr>
        <w:t>“</w:t>
      </w:r>
      <w:r w:rsidRPr="001708B8">
        <w:rPr>
          <w:rFonts w:cs="Times"/>
        </w:rPr>
        <w:t>Research writing infirst-year composition and across disciplines: Assignments, attitudes, and student performance.</w:t>
      </w:r>
      <w:r w:rsidR="001708B8" w:rsidRPr="001708B8">
        <w:rPr>
          <w:rFonts w:cs="Times"/>
        </w:rPr>
        <w:t>”</w:t>
      </w:r>
      <w:r w:rsidRPr="001708B8">
        <w:rPr>
          <w:rFonts w:cs="Times"/>
        </w:rPr>
        <w:t xml:space="preserve"> </w:t>
      </w:r>
      <w:r w:rsidRPr="001708B8">
        <w:rPr>
          <w:rFonts w:cs="Times"/>
          <w:i/>
        </w:rPr>
        <w:t>Kairos</w:t>
      </w:r>
      <w:r w:rsidRPr="001708B8">
        <w:rPr>
          <w:rFonts w:cs="Times"/>
        </w:rPr>
        <w:t xml:space="preserve"> 8(1). </w:t>
      </w:r>
      <w:r w:rsidR="001708B8" w:rsidRPr="001708B8">
        <w:rPr>
          <w:rFonts w:cs="Times"/>
        </w:rPr>
        <w:t>Accessed</w:t>
      </w:r>
      <w:r w:rsidRPr="001708B8">
        <w:rPr>
          <w:rFonts w:cs="Times"/>
        </w:rPr>
        <w:t xml:space="preserve"> Dec 5, 2016 from </w:t>
      </w:r>
      <w:hyperlink r:id="rId10" w:history="1">
        <w:r w:rsidRPr="001708B8">
          <w:rPr>
            <w:rStyle w:val="Hyperlink"/>
            <w:rFonts w:cs="Times"/>
          </w:rPr>
          <w:t>http://kairos.technorhetoric.net/8.1/featurs/melzer/kairosfront.htm</w:t>
        </w:r>
      </w:hyperlink>
    </w:p>
    <w:p w14:paraId="5FF987E1" w14:textId="22870109" w:rsidR="006426BA" w:rsidRPr="001708B8" w:rsidRDefault="006426BA" w:rsidP="001708B8">
      <w:pPr>
        <w:widowControl w:val="0"/>
        <w:autoSpaceDE w:val="0"/>
        <w:autoSpaceDN w:val="0"/>
        <w:adjustRightInd w:val="0"/>
        <w:spacing w:after="240" w:line="320" w:lineRule="atLeast"/>
        <w:ind w:left="720" w:hanging="720"/>
        <w:rPr>
          <w:rFonts w:cs="Times"/>
        </w:rPr>
      </w:pPr>
      <w:r w:rsidRPr="001708B8">
        <w:rPr>
          <w:rFonts w:cs="Times"/>
        </w:rPr>
        <w:lastRenderedPageBreak/>
        <w:t xml:space="preserve">Monroe, J. 2003. </w:t>
      </w:r>
      <w:r w:rsidR="001708B8" w:rsidRPr="001708B8">
        <w:rPr>
          <w:rFonts w:cs="Times"/>
        </w:rPr>
        <w:t>“</w:t>
      </w:r>
      <w:r w:rsidRPr="001708B8">
        <w:rPr>
          <w:rFonts w:cs="Times"/>
        </w:rPr>
        <w:t>Writing and the Disciplines.</w:t>
      </w:r>
      <w:r w:rsidR="001708B8" w:rsidRPr="001708B8">
        <w:rPr>
          <w:rFonts w:cs="Times"/>
        </w:rPr>
        <w:t>”</w:t>
      </w:r>
      <w:r w:rsidRPr="001708B8">
        <w:rPr>
          <w:rFonts w:cs="Times"/>
        </w:rPr>
        <w:t xml:space="preserve"> AAC&amp;U Fall 2003 PeerReview (Analysis).</w:t>
      </w:r>
    </w:p>
    <w:p w14:paraId="318D503E" w14:textId="53A9CCFB" w:rsidR="006426BA" w:rsidRPr="001708B8" w:rsidRDefault="006426BA" w:rsidP="001708B8">
      <w:pPr>
        <w:widowControl w:val="0"/>
        <w:tabs>
          <w:tab w:val="left" w:pos="220"/>
          <w:tab w:val="left" w:pos="720"/>
        </w:tabs>
        <w:autoSpaceDE w:val="0"/>
        <w:autoSpaceDN w:val="0"/>
        <w:adjustRightInd w:val="0"/>
        <w:ind w:left="720" w:hanging="720"/>
        <w:rPr>
          <w:rFonts w:eastAsia="MS Mincho" w:cs="MS Mincho"/>
        </w:rPr>
      </w:pPr>
      <w:r w:rsidRPr="001708B8">
        <w:rPr>
          <w:rFonts w:eastAsia="MS Mincho" w:cs="MS Mincho"/>
        </w:rPr>
        <w:t xml:space="preserve">Moskovitz, C. 2011. </w:t>
      </w:r>
      <w:r w:rsidR="001708B8" w:rsidRPr="001708B8">
        <w:rPr>
          <w:rFonts w:eastAsia="MS Mincho" w:cs="MS Mincho"/>
        </w:rPr>
        <w:t>“</w:t>
      </w:r>
      <w:r w:rsidRPr="001708B8">
        <w:rPr>
          <w:rFonts w:eastAsia="MS Mincho" w:cs="MS Mincho"/>
        </w:rPr>
        <w:t>The Duke Reader Project: engaging the university community in undergraduate writing instruction.</w:t>
      </w:r>
      <w:r w:rsidR="001708B8" w:rsidRPr="001708B8">
        <w:rPr>
          <w:rFonts w:eastAsia="MS Mincho" w:cs="MS Mincho"/>
        </w:rPr>
        <w:t>”</w:t>
      </w:r>
      <w:r w:rsidRPr="001708B8">
        <w:rPr>
          <w:rFonts w:eastAsia="MS Mincho" w:cs="MS Mincho"/>
        </w:rPr>
        <w:t xml:space="preserve"> </w:t>
      </w:r>
      <w:r w:rsidRPr="001708B8">
        <w:rPr>
          <w:rFonts w:eastAsia="MS Mincho" w:cs="MS Mincho"/>
          <w:i/>
        </w:rPr>
        <w:t>Liberal Education</w:t>
      </w:r>
      <w:r w:rsidRPr="001708B8">
        <w:rPr>
          <w:rFonts w:eastAsia="MS Mincho" w:cs="MS Mincho"/>
        </w:rPr>
        <w:t xml:space="preserve"> (summer/fall); p 48-53.</w:t>
      </w:r>
    </w:p>
    <w:p w14:paraId="0FA08363" w14:textId="77777777" w:rsidR="003639C4" w:rsidRPr="001708B8" w:rsidRDefault="003639C4" w:rsidP="001708B8">
      <w:pPr>
        <w:ind w:left="720" w:hanging="720"/>
      </w:pPr>
    </w:p>
    <w:p w14:paraId="70FD2C1F" w14:textId="07C85BEB" w:rsidR="001708B8" w:rsidRPr="001708B8" w:rsidRDefault="001708B8" w:rsidP="001708B8">
      <w:pPr>
        <w:ind w:left="720" w:hanging="720"/>
        <w:rPr>
          <w:rFonts w:eastAsia="Times New Roman" w:cs="Times New Roman"/>
        </w:rPr>
      </w:pPr>
      <w:r w:rsidRPr="001708B8">
        <w:rPr>
          <w:rFonts w:eastAsia="Times New Roman" w:cs="Times New Roman"/>
        </w:rPr>
        <w:t xml:space="preserve">National Science Board. 2016. “Science and Engineering Indicators 2016.” Arlington, VA: National Science Foundation (NSB-2016-1). Accessed May 1, 2017. </w:t>
      </w:r>
      <w:hyperlink r:id="rId11" w:anchor="/" w:history="1">
        <w:r w:rsidRPr="001708B8">
          <w:rPr>
            <w:rStyle w:val="Hyperlink"/>
            <w:rFonts w:eastAsia="Times New Roman" w:cs="Times New Roman"/>
          </w:rPr>
          <w:t>https://www.nsf.gov/statistics/2016/nsb20161/#/</w:t>
        </w:r>
      </w:hyperlink>
      <w:r w:rsidRPr="001708B8">
        <w:rPr>
          <w:rFonts w:eastAsia="Times New Roman" w:cs="Times New Roman"/>
        </w:rPr>
        <w:t xml:space="preserve"> </w:t>
      </w:r>
    </w:p>
    <w:p w14:paraId="6084EB41" w14:textId="77777777" w:rsidR="003639C4" w:rsidRPr="001708B8" w:rsidRDefault="003639C4" w:rsidP="001708B8">
      <w:pPr>
        <w:ind w:left="720" w:hanging="720"/>
      </w:pPr>
    </w:p>
    <w:p w14:paraId="2C4742A1" w14:textId="17C7A155" w:rsidR="006426BA" w:rsidRPr="001708B8" w:rsidRDefault="006426BA" w:rsidP="001708B8">
      <w:pPr>
        <w:ind w:left="720" w:hanging="720"/>
      </w:pPr>
      <w:r w:rsidRPr="001708B8">
        <w:rPr>
          <w:rFonts w:cs="Times"/>
        </w:rPr>
        <w:t xml:space="preserve">Nelson, J. and J.R. Hayes. 1988. </w:t>
      </w:r>
      <w:r w:rsidRPr="001708B8">
        <w:rPr>
          <w:rFonts w:cs="Times"/>
          <w:i/>
        </w:rPr>
        <w:t>How the Writing Context Shapes College Students’ Strategies for Writing from Sources.</w:t>
      </w:r>
      <w:r w:rsidRPr="001708B8">
        <w:rPr>
          <w:rFonts w:cs="Times"/>
        </w:rPr>
        <w:t xml:space="preserve"> Technical Report No. 16. </w:t>
      </w:r>
    </w:p>
    <w:p w14:paraId="66421159" w14:textId="77777777" w:rsidR="003639C4" w:rsidRPr="001708B8" w:rsidRDefault="003639C4" w:rsidP="001708B8">
      <w:pPr>
        <w:ind w:left="720" w:hanging="720"/>
      </w:pPr>
    </w:p>
    <w:p w14:paraId="1741EC58" w14:textId="77777777" w:rsidR="006426BA" w:rsidRPr="001708B8" w:rsidRDefault="006426BA" w:rsidP="001708B8">
      <w:pPr>
        <w:ind w:left="720" w:hanging="720"/>
      </w:pPr>
      <w:r w:rsidRPr="001708B8">
        <w:t xml:space="preserve">Patterson, L.M., and V Slinger-Friedman. 2012. “Writing in Undergraduate Geography Classes: Faculty Challenges and Rewards.” </w:t>
      </w:r>
      <w:r w:rsidRPr="001708B8">
        <w:rPr>
          <w:i/>
        </w:rPr>
        <w:t>Journal of Geography</w:t>
      </w:r>
      <w:r w:rsidRPr="001708B8">
        <w:t xml:space="preserve"> 111: 184-193. </w:t>
      </w:r>
    </w:p>
    <w:p w14:paraId="571499F9" w14:textId="77777777" w:rsidR="006426BA" w:rsidRPr="001708B8" w:rsidRDefault="006426BA" w:rsidP="001708B8">
      <w:pPr>
        <w:ind w:left="720" w:hanging="720"/>
      </w:pPr>
    </w:p>
    <w:p w14:paraId="557FD543" w14:textId="77777777" w:rsidR="006426BA" w:rsidRPr="001708B8" w:rsidRDefault="006426BA" w:rsidP="001708B8">
      <w:pPr>
        <w:ind w:left="720" w:hanging="720"/>
      </w:pPr>
      <w:r w:rsidRPr="001708B8">
        <w:t xml:space="preserve">Pytash, K.E., L. Annetta, R.E. Ferdig. 2016. Using apps to integrate writing into science education. </w:t>
      </w:r>
      <w:r w:rsidRPr="001708B8">
        <w:rPr>
          <w:i/>
        </w:rPr>
        <w:t>Science Scope</w:t>
      </w:r>
      <w:r w:rsidRPr="001708B8">
        <w:t xml:space="preserve"> April/May, p 21-26.</w:t>
      </w:r>
    </w:p>
    <w:p w14:paraId="78588A06" w14:textId="77777777" w:rsidR="006426BA" w:rsidRPr="001708B8" w:rsidRDefault="006426BA" w:rsidP="001708B8">
      <w:pPr>
        <w:ind w:left="720" w:hanging="720"/>
      </w:pPr>
    </w:p>
    <w:p w14:paraId="4BECD406" w14:textId="77777777" w:rsidR="006426BA" w:rsidRPr="001708B8" w:rsidRDefault="006426BA" w:rsidP="001708B8">
      <w:pPr>
        <w:widowControl w:val="0"/>
        <w:autoSpaceDE w:val="0"/>
        <w:autoSpaceDN w:val="0"/>
        <w:adjustRightInd w:val="0"/>
        <w:spacing w:after="240" w:line="320" w:lineRule="atLeast"/>
        <w:ind w:left="720" w:hanging="720"/>
        <w:rPr>
          <w:rFonts w:cs="Times"/>
        </w:rPr>
      </w:pPr>
      <w:r w:rsidRPr="001708B8">
        <w:rPr>
          <w:rFonts w:cs="Times"/>
        </w:rPr>
        <w:t xml:space="preserve">Ruzycki, N. 2015. </w:t>
      </w:r>
      <w:r w:rsidRPr="001708B8">
        <w:rPr>
          <w:rFonts w:cs="Times"/>
          <w:i/>
        </w:rPr>
        <w:t>Writing, speaking and communicating – Building Disciplinary Literacy in materials science undergraduate students</w:t>
      </w:r>
      <w:r w:rsidRPr="001708B8">
        <w:rPr>
          <w:rFonts w:cs="Times"/>
        </w:rPr>
        <w:t xml:space="preserve"> (Paper ID#11347). 122</w:t>
      </w:r>
      <w:r w:rsidRPr="001708B8">
        <w:rPr>
          <w:rFonts w:cs="Times"/>
          <w:vertAlign w:val="superscript"/>
        </w:rPr>
        <w:t>nd</w:t>
      </w:r>
      <w:r w:rsidRPr="001708B8">
        <w:rPr>
          <w:rFonts w:cs="Times"/>
        </w:rPr>
        <w:t xml:space="preserve"> ASEE Annual Conference &amp; Exposition, June 14-17, 2015. Seattle, WA. </w:t>
      </w:r>
    </w:p>
    <w:p w14:paraId="2CB6B55D" w14:textId="585737BF" w:rsidR="006426BA" w:rsidRPr="001708B8" w:rsidRDefault="006426BA" w:rsidP="001708B8">
      <w:pPr>
        <w:ind w:left="720" w:hanging="720"/>
      </w:pPr>
      <w:r w:rsidRPr="001708B8">
        <w:t>Stewart, A.F., A.L. Williams, J.E. Lofgreen, L.J.G. Edgar, L.B. Hoch, and A.P. Dicks. 2015. “Chemistry Writing Instruction and Training: Implementing a Comprehensive Approach to Improving Student Communication Skills.</w:t>
      </w:r>
      <w:r w:rsidR="001708B8" w:rsidRPr="001708B8">
        <w:t>”</w:t>
      </w:r>
      <w:r w:rsidRPr="001708B8">
        <w:t xml:space="preserve"> </w:t>
      </w:r>
      <w:r w:rsidRPr="001708B8">
        <w:rPr>
          <w:i/>
        </w:rPr>
        <w:t>Journal of Chemical Education</w:t>
      </w:r>
      <w:r w:rsidRPr="001708B8">
        <w:t xml:space="preserve"> 93: 86-92.</w:t>
      </w:r>
    </w:p>
    <w:p w14:paraId="259EBB30" w14:textId="77777777" w:rsidR="006426BA" w:rsidRPr="001708B8" w:rsidRDefault="006426BA" w:rsidP="001708B8">
      <w:pPr>
        <w:ind w:left="720" w:hanging="720"/>
      </w:pPr>
    </w:p>
    <w:p w14:paraId="488E00AE" w14:textId="617D997F" w:rsidR="003C34E1" w:rsidRDefault="00E476AA" w:rsidP="001708B8">
      <w:pPr>
        <w:ind w:left="720" w:hanging="720"/>
      </w:pPr>
      <w:r>
        <w:t>Hager, M. and P. Walls</w:t>
      </w:r>
      <w:r w:rsidR="003C34E1">
        <w:t xml:space="preserve">. </w:t>
      </w:r>
      <w:r w:rsidR="004950C2">
        <w:t>2017.</w:t>
      </w:r>
      <w:r w:rsidR="00311AF6">
        <w:t xml:space="preserve"> </w:t>
      </w:r>
      <w:r w:rsidRPr="00E476AA">
        <w:rPr>
          <w:i/>
        </w:rPr>
        <w:t>SJSU Writing Center Annual Report 2016-2017</w:t>
      </w:r>
      <w:r>
        <w:t>. San Jose State University.</w:t>
      </w:r>
    </w:p>
    <w:p w14:paraId="383F3D4C" w14:textId="77777777" w:rsidR="003C34E1" w:rsidRDefault="003C34E1" w:rsidP="001708B8">
      <w:pPr>
        <w:ind w:left="720" w:hanging="720"/>
      </w:pPr>
    </w:p>
    <w:p w14:paraId="4CDE3586" w14:textId="67796C5E" w:rsidR="006426BA" w:rsidRPr="001708B8" w:rsidRDefault="006426BA" w:rsidP="001708B8">
      <w:pPr>
        <w:ind w:left="720" w:hanging="720"/>
      </w:pPr>
      <w:r w:rsidRPr="001708B8">
        <w:t xml:space="preserve">Wingate, U., N. Andon, and A. Cogo. 2011. “Embedding academic writing instruction into subject teaching: A case study”. </w:t>
      </w:r>
      <w:r w:rsidRPr="001708B8">
        <w:rPr>
          <w:i/>
        </w:rPr>
        <w:t>Active Learning in Higher Education</w:t>
      </w:r>
      <w:r w:rsidRPr="001708B8">
        <w:t xml:space="preserve"> 12(1): 69-81. </w:t>
      </w:r>
    </w:p>
    <w:p w14:paraId="71A69E24" w14:textId="77777777" w:rsidR="006426BA" w:rsidRPr="006426BA" w:rsidRDefault="006426BA" w:rsidP="006426BA">
      <w:pPr>
        <w:rPr>
          <w:highlight w:val="yellow"/>
        </w:rPr>
      </w:pPr>
    </w:p>
    <w:p w14:paraId="3745486A" w14:textId="77777777" w:rsidR="00E06645" w:rsidRPr="006426BA" w:rsidRDefault="00E06645" w:rsidP="004D36F7"/>
    <w:sectPr w:rsidR="00E06645" w:rsidRPr="006426BA" w:rsidSect="00B02AE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E120B" w14:textId="77777777" w:rsidR="0074772C" w:rsidRDefault="0074772C" w:rsidP="00E927D3">
      <w:r>
        <w:separator/>
      </w:r>
    </w:p>
  </w:endnote>
  <w:endnote w:type="continuationSeparator" w:id="0">
    <w:p w14:paraId="6A6DFDD3" w14:textId="77777777" w:rsidR="0074772C" w:rsidRDefault="0074772C" w:rsidP="00E9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0000000000000000000"/>
    <w:charset w:val="4D"/>
    <w:family w:val="roman"/>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1CFB9" w14:textId="77777777" w:rsidR="00DD3E82" w:rsidRDefault="00DD3E82" w:rsidP="00BB0B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9D373" w14:textId="77777777" w:rsidR="00DD3E82" w:rsidRDefault="00DD3E82" w:rsidP="00E927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3E63" w14:textId="66EADE7A" w:rsidR="00DD3E82" w:rsidRDefault="00DD3E82" w:rsidP="00BB0B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681">
      <w:rPr>
        <w:rStyle w:val="PageNumber"/>
        <w:noProof/>
      </w:rPr>
      <w:t>25</w:t>
    </w:r>
    <w:r>
      <w:rPr>
        <w:rStyle w:val="PageNumber"/>
      </w:rPr>
      <w:fldChar w:fldCharType="end"/>
    </w:r>
  </w:p>
  <w:p w14:paraId="4367C50C" w14:textId="77777777" w:rsidR="00DD3E82" w:rsidRDefault="00DD3E82" w:rsidP="00E927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C85E2" w14:textId="77777777" w:rsidR="0074772C" w:rsidRDefault="0074772C" w:rsidP="00E927D3">
      <w:r>
        <w:separator/>
      </w:r>
    </w:p>
  </w:footnote>
  <w:footnote w:type="continuationSeparator" w:id="0">
    <w:p w14:paraId="7943133A" w14:textId="77777777" w:rsidR="0074772C" w:rsidRDefault="0074772C" w:rsidP="00E927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477F"/>
    <w:multiLevelType w:val="hybridMultilevel"/>
    <w:tmpl w:val="1C2E6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15751"/>
    <w:multiLevelType w:val="hybridMultilevel"/>
    <w:tmpl w:val="0FCE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542E4"/>
    <w:multiLevelType w:val="hybridMultilevel"/>
    <w:tmpl w:val="E8E4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B6E78"/>
    <w:multiLevelType w:val="hybridMultilevel"/>
    <w:tmpl w:val="61D8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E54B99"/>
    <w:multiLevelType w:val="hybridMultilevel"/>
    <w:tmpl w:val="E6943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7B480E"/>
    <w:multiLevelType w:val="hybridMultilevel"/>
    <w:tmpl w:val="F960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30ED1"/>
    <w:multiLevelType w:val="hybridMultilevel"/>
    <w:tmpl w:val="33689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2708B6"/>
    <w:multiLevelType w:val="hybridMultilevel"/>
    <w:tmpl w:val="CF3E0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3B2884"/>
    <w:multiLevelType w:val="hybridMultilevel"/>
    <w:tmpl w:val="1C30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D74E99"/>
    <w:multiLevelType w:val="hybridMultilevel"/>
    <w:tmpl w:val="184EB8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59E73FF5"/>
    <w:multiLevelType w:val="hybridMultilevel"/>
    <w:tmpl w:val="1882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A34656"/>
    <w:multiLevelType w:val="hybridMultilevel"/>
    <w:tmpl w:val="11AE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611E00"/>
    <w:multiLevelType w:val="hybridMultilevel"/>
    <w:tmpl w:val="348AD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85E3532"/>
    <w:multiLevelType w:val="hybridMultilevel"/>
    <w:tmpl w:val="5BC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355E38"/>
    <w:multiLevelType w:val="hybridMultilevel"/>
    <w:tmpl w:val="B00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2F6153"/>
    <w:multiLevelType w:val="hybridMultilevel"/>
    <w:tmpl w:val="FDA8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44182D"/>
    <w:multiLevelType w:val="hybridMultilevel"/>
    <w:tmpl w:val="67742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3C08CA"/>
    <w:multiLevelType w:val="hybridMultilevel"/>
    <w:tmpl w:val="7C7C34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8C31AF"/>
    <w:multiLevelType w:val="hybridMultilevel"/>
    <w:tmpl w:val="91C830D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7EFD783D"/>
    <w:multiLevelType w:val="hybridMultilevel"/>
    <w:tmpl w:val="219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7"/>
  </w:num>
  <w:num w:numId="4">
    <w:abstractNumId w:val="16"/>
  </w:num>
  <w:num w:numId="5">
    <w:abstractNumId w:val="0"/>
  </w:num>
  <w:num w:numId="6">
    <w:abstractNumId w:val="6"/>
  </w:num>
  <w:num w:numId="7">
    <w:abstractNumId w:val="1"/>
  </w:num>
  <w:num w:numId="8">
    <w:abstractNumId w:val="15"/>
  </w:num>
  <w:num w:numId="9">
    <w:abstractNumId w:val="3"/>
  </w:num>
  <w:num w:numId="10">
    <w:abstractNumId w:val="18"/>
  </w:num>
  <w:num w:numId="11">
    <w:abstractNumId w:val="10"/>
  </w:num>
  <w:num w:numId="12">
    <w:abstractNumId w:val="2"/>
  </w:num>
  <w:num w:numId="13">
    <w:abstractNumId w:val="12"/>
  </w:num>
  <w:num w:numId="14">
    <w:abstractNumId w:val="13"/>
  </w:num>
  <w:num w:numId="15">
    <w:abstractNumId w:val="11"/>
  </w:num>
  <w:num w:numId="16">
    <w:abstractNumId w:val="5"/>
  </w:num>
  <w:num w:numId="17">
    <w:abstractNumId w:val="14"/>
  </w:num>
  <w:num w:numId="18">
    <w:abstractNumId w:val="19"/>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9D"/>
    <w:rsid w:val="00001DCA"/>
    <w:rsid w:val="00004FA1"/>
    <w:rsid w:val="0001144D"/>
    <w:rsid w:val="000116CF"/>
    <w:rsid w:val="0001250D"/>
    <w:rsid w:val="000221F1"/>
    <w:rsid w:val="00031F68"/>
    <w:rsid w:val="00036C9F"/>
    <w:rsid w:val="00042620"/>
    <w:rsid w:val="0004445F"/>
    <w:rsid w:val="00046D3A"/>
    <w:rsid w:val="00050839"/>
    <w:rsid w:val="00061380"/>
    <w:rsid w:val="00071C5B"/>
    <w:rsid w:val="0008709F"/>
    <w:rsid w:val="00094F61"/>
    <w:rsid w:val="000A285C"/>
    <w:rsid w:val="000A2D42"/>
    <w:rsid w:val="000A3E99"/>
    <w:rsid w:val="000B1FE0"/>
    <w:rsid w:val="000B46D8"/>
    <w:rsid w:val="000C0503"/>
    <w:rsid w:val="000C54DB"/>
    <w:rsid w:val="000D06CB"/>
    <w:rsid w:val="000D4324"/>
    <w:rsid w:val="000D701C"/>
    <w:rsid w:val="000E576A"/>
    <w:rsid w:val="00101A7D"/>
    <w:rsid w:val="0010204C"/>
    <w:rsid w:val="00105402"/>
    <w:rsid w:val="0011120C"/>
    <w:rsid w:val="00113855"/>
    <w:rsid w:val="00126050"/>
    <w:rsid w:val="001362DE"/>
    <w:rsid w:val="00142843"/>
    <w:rsid w:val="00144C31"/>
    <w:rsid w:val="00157519"/>
    <w:rsid w:val="001708B8"/>
    <w:rsid w:val="001873B5"/>
    <w:rsid w:val="0019445A"/>
    <w:rsid w:val="0019643D"/>
    <w:rsid w:val="001A24BA"/>
    <w:rsid w:val="001A3C6A"/>
    <w:rsid w:val="001B493A"/>
    <w:rsid w:val="001B75FB"/>
    <w:rsid w:val="001C2213"/>
    <w:rsid w:val="001D0637"/>
    <w:rsid w:val="001D460F"/>
    <w:rsid w:val="001D51D1"/>
    <w:rsid w:val="001D7427"/>
    <w:rsid w:val="001D79CF"/>
    <w:rsid w:val="001D7B9F"/>
    <w:rsid w:val="001F13E8"/>
    <w:rsid w:val="001F3575"/>
    <w:rsid w:val="001F502E"/>
    <w:rsid w:val="001F5173"/>
    <w:rsid w:val="001F6104"/>
    <w:rsid w:val="0021123A"/>
    <w:rsid w:val="00213279"/>
    <w:rsid w:val="00216A1A"/>
    <w:rsid w:val="0023646F"/>
    <w:rsid w:val="00244CF4"/>
    <w:rsid w:val="00257B4E"/>
    <w:rsid w:val="0026427D"/>
    <w:rsid w:val="002643A6"/>
    <w:rsid w:val="00276BDE"/>
    <w:rsid w:val="00276EB4"/>
    <w:rsid w:val="00284CA6"/>
    <w:rsid w:val="002A1E81"/>
    <w:rsid w:val="002B50FB"/>
    <w:rsid w:val="002B597D"/>
    <w:rsid w:val="002C6161"/>
    <w:rsid w:val="002D28D4"/>
    <w:rsid w:val="002E54D8"/>
    <w:rsid w:val="002E6596"/>
    <w:rsid w:val="002F1848"/>
    <w:rsid w:val="003055BE"/>
    <w:rsid w:val="00307C63"/>
    <w:rsid w:val="00311AF6"/>
    <w:rsid w:val="00317F13"/>
    <w:rsid w:val="003276E3"/>
    <w:rsid w:val="0033190B"/>
    <w:rsid w:val="00347573"/>
    <w:rsid w:val="00360B46"/>
    <w:rsid w:val="003618E9"/>
    <w:rsid w:val="003622E0"/>
    <w:rsid w:val="003639C4"/>
    <w:rsid w:val="0036541E"/>
    <w:rsid w:val="00373470"/>
    <w:rsid w:val="00384767"/>
    <w:rsid w:val="00395A11"/>
    <w:rsid w:val="003A0042"/>
    <w:rsid w:val="003B1A3A"/>
    <w:rsid w:val="003B246A"/>
    <w:rsid w:val="003B3AA2"/>
    <w:rsid w:val="003B3AAC"/>
    <w:rsid w:val="003B6143"/>
    <w:rsid w:val="003B73E2"/>
    <w:rsid w:val="003C34E1"/>
    <w:rsid w:val="003C49D4"/>
    <w:rsid w:val="003C603D"/>
    <w:rsid w:val="003C67A5"/>
    <w:rsid w:val="003D276C"/>
    <w:rsid w:val="003D6AD9"/>
    <w:rsid w:val="003E0ABD"/>
    <w:rsid w:val="003E517E"/>
    <w:rsid w:val="003F26A1"/>
    <w:rsid w:val="003F33C5"/>
    <w:rsid w:val="003F46AC"/>
    <w:rsid w:val="00405635"/>
    <w:rsid w:val="00406267"/>
    <w:rsid w:val="004119AC"/>
    <w:rsid w:val="0042394B"/>
    <w:rsid w:val="004319BD"/>
    <w:rsid w:val="0044092D"/>
    <w:rsid w:val="00440A2C"/>
    <w:rsid w:val="00450EC1"/>
    <w:rsid w:val="004621E8"/>
    <w:rsid w:val="00462BB1"/>
    <w:rsid w:val="004643C6"/>
    <w:rsid w:val="00480850"/>
    <w:rsid w:val="004950C2"/>
    <w:rsid w:val="0049559D"/>
    <w:rsid w:val="004A1060"/>
    <w:rsid w:val="004A5B40"/>
    <w:rsid w:val="004B47CD"/>
    <w:rsid w:val="004D36F7"/>
    <w:rsid w:val="004D473C"/>
    <w:rsid w:val="004D77D2"/>
    <w:rsid w:val="004E3CA2"/>
    <w:rsid w:val="004E611A"/>
    <w:rsid w:val="00500F7B"/>
    <w:rsid w:val="00507C10"/>
    <w:rsid w:val="00511F3C"/>
    <w:rsid w:val="00517FB6"/>
    <w:rsid w:val="00525865"/>
    <w:rsid w:val="00531A25"/>
    <w:rsid w:val="00532883"/>
    <w:rsid w:val="005366D6"/>
    <w:rsid w:val="00556FEA"/>
    <w:rsid w:val="00571320"/>
    <w:rsid w:val="00574AB8"/>
    <w:rsid w:val="0058121D"/>
    <w:rsid w:val="00592A3C"/>
    <w:rsid w:val="00593917"/>
    <w:rsid w:val="005959DD"/>
    <w:rsid w:val="005C25EC"/>
    <w:rsid w:val="005C707F"/>
    <w:rsid w:val="005E369A"/>
    <w:rsid w:val="005E5652"/>
    <w:rsid w:val="005E71D1"/>
    <w:rsid w:val="005F465A"/>
    <w:rsid w:val="005F4908"/>
    <w:rsid w:val="005F6A49"/>
    <w:rsid w:val="00603370"/>
    <w:rsid w:val="00604DF0"/>
    <w:rsid w:val="00613133"/>
    <w:rsid w:val="00633ADC"/>
    <w:rsid w:val="006353EA"/>
    <w:rsid w:val="00640882"/>
    <w:rsid w:val="006426BA"/>
    <w:rsid w:val="00662DFE"/>
    <w:rsid w:val="0068720D"/>
    <w:rsid w:val="00690BE4"/>
    <w:rsid w:val="00691894"/>
    <w:rsid w:val="0069304A"/>
    <w:rsid w:val="00693E75"/>
    <w:rsid w:val="006958FF"/>
    <w:rsid w:val="006C0D58"/>
    <w:rsid w:val="006C3EF2"/>
    <w:rsid w:val="006C60C8"/>
    <w:rsid w:val="006C61E9"/>
    <w:rsid w:val="006C6E5F"/>
    <w:rsid w:val="006D3179"/>
    <w:rsid w:val="006E304F"/>
    <w:rsid w:val="006E4647"/>
    <w:rsid w:val="006E7482"/>
    <w:rsid w:val="006F5D57"/>
    <w:rsid w:val="006F610E"/>
    <w:rsid w:val="00702D53"/>
    <w:rsid w:val="00706414"/>
    <w:rsid w:val="00720DB8"/>
    <w:rsid w:val="0072180A"/>
    <w:rsid w:val="0073245B"/>
    <w:rsid w:val="00741681"/>
    <w:rsid w:val="00742B66"/>
    <w:rsid w:val="0074439F"/>
    <w:rsid w:val="0074772C"/>
    <w:rsid w:val="00755248"/>
    <w:rsid w:val="00755B2A"/>
    <w:rsid w:val="0075762A"/>
    <w:rsid w:val="007615C0"/>
    <w:rsid w:val="00766245"/>
    <w:rsid w:val="007721EE"/>
    <w:rsid w:val="00781E61"/>
    <w:rsid w:val="00785683"/>
    <w:rsid w:val="00785A35"/>
    <w:rsid w:val="00791818"/>
    <w:rsid w:val="0079673E"/>
    <w:rsid w:val="0079781B"/>
    <w:rsid w:val="007A3368"/>
    <w:rsid w:val="007A4B60"/>
    <w:rsid w:val="007B6A0B"/>
    <w:rsid w:val="007C4370"/>
    <w:rsid w:val="007C5403"/>
    <w:rsid w:val="007C66C9"/>
    <w:rsid w:val="007C6BEE"/>
    <w:rsid w:val="007D4433"/>
    <w:rsid w:val="007D4770"/>
    <w:rsid w:val="007E0F82"/>
    <w:rsid w:val="007E1F8B"/>
    <w:rsid w:val="007E2317"/>
    <w:rsid w:val="007E6501"/>
    <w:rsid w:val="007F1EB1"/>
    <w:rsid w:val="007F2ED6"/>
    <w:rsid w:val="00804EB3"/>
    <w:rsid w:val="00812756"/>
    <w:rsid w:val="008328AE"/>
    <w:rsid w:val="00832FE3"/>
    <w:rsid w:val="008349A1"/>
    <w:rsid w:val="008364E0"/>
    <w:rsid w:val="008365D2"/>
    <w:rsid w:val="00852329"/>
    <w:rsid w:val="00857AB8"/>
    <w:rsid w:val="0086114E"/>
    <w:rsid w:val="00871D85"/>
    <w:rsid w:val="0087314F"/>
    <w:rsid w:val="008741E7"/>
    <w:rsid w:val="008840C1"/>
    <w:rsid w:val="00886BC7"/>
    <w:rsid w:val="00892549"/>
    <w:rsid w:val="008A722F"/>
    <w:rsid w:val="008B29D1"/>
    <w:rsid w:val="008D559E"/>
    <w:rsid w:val="008E7BE1"/>
    <w:rsid w:val="008E7D55"/>
    <w:rsid w:val="008F0604"/>
    <w:rsid w:val="008F0975"/>
    <w:rsid w:val="008F0BC1"/>
    <w:rsid w:val="0090041D"/>
    <w:rsid w:val="00907687"/>
    <w:rsid w:val="009111AA"/>
    <w:rsid w:val="00913B16"/>
    <w:rsid w:val="0091562E"/>
    <w:rsid w:val="0091619F"/>
    <w:rsid w:val="00917C0C"/>
    <w:rsid w:val="00920179"/>
    <w:rsid w:val="0092572C"/>
    <w:rsid w:val="00926D4D"/>
    <w:rsid w:val="00932B26"/>
    <w:rsid w:val="00933CCC"/>
    <w:rsid w:val="0093538E"/>
    <w:rsid w:val="00935D62"/>
    <w:rsid w:val="00943035"/>
    <w:rsid w:val="00950385"/>
    <w:rsid w:val="00951F30"/>
    <w:rsid w:val="0095308C"/>
    <w:rsid w:val="0095579C"/>
    <w:rsid w:val="00957C6E"/>
    <w:rsid w:val="0096046D"/>
    <w:rsid w:val="00960641"/>
    <w:rsid w:val="00962935"/>
    <w:rsid w:val="009650AC"/>
    <w:rsid w:val="009739F3"/>
    <w:rsid w:val="009742DB"/>
    <w:rsid w:val="00976A84"/>
    <w:rsid w:val="0098730A"/>
    <w:rsid w:val="00993FFB"/>
    <w:rsid w:val="009A4AD7"/>
    <w:rsid w:val="009A63FC"/>
    <w:rsid w:val="009B49E3"/>
    <w:rsid w:val="009D725E"/>
    <w:rsid w:val="009E6C74"/>
    <w:rsid w:val="009E7BF8"/>
    <w:rsid w:val="009F15A8"/>
    <w:rsid w:val="009F40FC"/>
    <w:rsid w:val="009F7FCF"/>
    <w:rsid w:val="00A00737"/>
    <w:rsid w:val="00A04878"/>
    <w:rsid w:val="00A05F3C"/>
    <w:rsid w:val="00A07F98"/>
    <w:rsid w:val="00A20974"/>
    <w:rsid w:val="00A24544"/>
    <w:rsid w:val="00A35B34"/>
    <w:rsid w:val="00A422A3"/>
    <w:rsid w:val="00A5496C"/>
    <w:rsid w:val="00A60834"/>
    <w:rsid w:val="00A65973"/>
    <w:rsid w:val="00A6709E"/>
    <w:rsid w:val="00A73557"/>
    <w:rsid w:val="00A7396B"/>
    <w:rsid w:val="00A92BD3"/>
    <w:rsid w:val="00A93D0C"/>
    <w:rsid w:val="00A95152"/>
    <w:rsid w:val="00A96533"/>
    <w:rsid w:val="00A96ED8"/>
    <w:rsid w:val="00AA0A32"/>
    <w:rsid w:val="00AA6750"/>
    <w:rsid w:val="00AA6988"/>
    <w:rsid w:val="00AB4EA3"/>
    <w:rsid w:val="00AD2767"/>
    <w:rsid w:val="00AD3FE2"/>
    <w:rsid w:val="00AD5444"/>
    <w:rsid w:val="00AD629A"/>
    <w:rsid w:val="00AE482C"/>
    <w:rsid w:val="00AE72DD"/>
    <w:rsid w:val="00AF0947"/>
    <w:rsid w:val="00AF6855"/>
    <w:rsid w:val="00AF7936"/>
    <w:rsid w:val="00B02AEC"/>
    <w:rsid w:val="00B11FDC"/>
    <w:rsid w:val="00B129D3"/>
    <w:rsid w:val="00B15B35"/>
    <w:rsid w:val="00B378FA"/>
    <w:rsid w:val="00B40E12"/>
    <w:rsid w:val="00B42C98"/>
    <w:rsid w:val="00B52799"/>
    <w:rsid w:val="00B65A7F"/>
    <w:rsid w:val="00B71FA5"/>
    <w:rsid w:val="00B74A40"/>
    <w:rsid w:val="00B8062E"/>
    <w:rsid w:val="00B81596"/>
    <w:rsid w:val="00B817A3"/>
    <w:rsid w:val="00B82C93"/>
    <w:rsid w:val="00B8699A"/>
    <w:rsid w:val="00B8790B"/>
    <w:rsid w:val="00BA07DE"/>
    <w:rsid w:val="00BA42A3"/>
    <w:rsid w:val="00BA5643"/>
    <w:rsid w:val="00BB0BD6"/>
    <w:rsid w:val="00BD4A2C"/>
    <w:rsid w:val="00BD54A5"/>
    <w:rsid w:val="00BE2D39"/>
    <w:rsid w:val="00BE5DB7"/>
    <w:rsid w:val="00BF6331"/>
    <w:rsid w:val="00BF6D2C"/>
    <w:rsid w:val="00C158DA"/>
    <w:rsid w:val="00C25C37"/>
    <w:rsid w:val="00C3466D"/>
    <w:rsid w:val="00C404BD"/>
    <w:rsid w:val="00C430FC"/>
    <w:rsid w:val="00C45612"/>
    <w:rsid w:val="00C479A9"/>
    <w:rsid w:val="00C51684"/>
    <w:rsid w:val="00C5580B"/>
    <w:rsid w:val="00C57B0C"/>
    <w:rsid w:val="00C721F5"/>
    <w:rsid w:val="00C72CFC"/>
    <w:rsid w:val="00C84778"/>
    <w:rsid w:val="00C97786"/>
    <w:rsid w:val="00CA28EB"/>
    <w:rsid w:val="00CA542A"/>
    <w:rsid w:val="00CA732A"/>
    <w:rsid w:val="00CB3950"/>
    <w:rsid w:val="00CC2909"/>
    <w:rsid w:val="00CC319A"/>
    <w:rsid w:val="00CC44BD"/>
    <w:rsid w:val="00CD2088"/>
    <w:rsid w:val="00CD7CE6"/>
    <w:rsid w:val="00CF6221"/>
    <w:rsid w:val="00D03335"/>
    <w:rsid w:val="00D11932"/>
    <w:rsid w:val="00D12A8F"/>
    <w:rsid w:val="00D137E2"/>
    <w:rsid w:val="00D14A46"/>
    <w:rsid w:val="00D37765"/>
    <w:rsid w:val="00D426F2"/>
    <w:rsid w:val="00D4533C"/>
    <w:rsid w:val="00D51067"/>
    <w:rsid w:val="00D562DC"/>
    <w:rsid w:val="00D56A3D"/>
    <w:rsid w:val="00D762DE"/>
    <w:rsid w:val="00D76781"/>
    <w:rsid w:val="00D76B3E"/>
    <w:rsid w:val="00D87612"/>
    <w:rsid w:val="00D87FF8"/>
    <w:rsid w:val="00D949D9"/>
    <w:rsid w:val="00DB3EE5"/>
    <w:rsid w:val="00DC737E"/>
    <w:rsid w:val="00DD1E03"/>
    <w:rsid w:val="00DD3E82"/>
    <w:rsid w:val="00E06645"/>
    <w:rsid w:val="00E10E6B"/>
    <w:rsid w:val="00E15ED5"/>
    <w:rsid w:val="00E15FC6"/>
    <w:rsid w:val="00E25B58"/>
    <w:rsid w:val="00E27C22"/>
    <w:rsid w:val="00E46338"/>
    <w:rsid w:val="00E476AA"/>
    <w:rsid w:val="00E5378C"/>
    <w:rsid w:val="00E709E9"/>
    <w:rsid w:val="00E765D1"/>
    <w:rsid w:val="00E927D3"/>
    <w:rsid w:val="00E97AD2"/>
    <w:rsid w:val="00EA09AD"/>
    <w:rsid w:val="00EA261B"/>
    <w:rsid w:val="00EA283C"/>
    <w:rsid w:val="00EA4A21"/>
    <w:rsid w:val="00EA581E"/>
    <w:rsid w:val="00EC1893"/>
    <w:rsid w:val="00EC5C14"/>
    <w:rsid w:val="00EE0385"/>
    <w:rsid w:val="00EE6C31"/>
    <w:rsid w:val="00EE7673"/>
    <w:rsid w:val="00EF4266"/>
    <w:rsid w:val="00F036A8"/>
    <w:rsid w:val="00F03F59"/>
    <w:rsid w:val="00F1021F"/>
    <w:rsid w:val="00F10403"/>
    <w:rsid w:val="00F135C9"/>
    <w:rsid w:val="00F146D3"/>
    <w:rsid w:val="00F168C4"/>
    <w:rsid w:val="00F17125"/>
    <w:rsid w:val="00F17141"/>
    <w:rsid w:val="00F21B1B"/>
    <w:rsid w:val="00F2480B"/>
    <w:rsid w:val="00F262DF"/>
    <w:rsid w:val="00F37F4A"/>
    <w:rsid w:val="00F40B16"/>
    <w:rsid w:val="00F410DE"/>
    <w:rsid w:val="00F56FFE"/>
    <w:rsid w:val="00F5717A"/>
    <w:rsid w:val="00F6758C"/>
    <w:rsid w:val="00F71255"/>
    <w:rsid w:val="00F77913"/>
    <w:rsid w:val="00F90E14"/>
    <w:rsid w:val="00F95F23"/>
    <w:rsid w:val="00F97260"/>
    <w:rsid w:val="00FA3764"/>
    <w:rsid w:val="00FB0499"/>
    <w:rsid w:val="00FB3849"/>
    <w:rsid w:val="00FC6F07"/>
    <w:rsid w:val="00FD1C98"/>
    <w:rsid w:val="00FE12BE"/>
    <w:rsid w:val="00FE4C5B"/>
    <w:rsid w:val="00FF06C1"/>
    <w:rsid w:val="00FF14BA"/>
    <w:rsid w:val="00FF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57447"/>
  <w15:chartTrackingRefBased/>
  <w15:docId w15:val="{76F41A64-00AA-4775-813F-2D494E31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59D"/>
    <w:pPr>
      <w:ind w:left="720"/>
      <w:contextualSpacing/>
    </w:pPr>
  </w:style>
  <w:style w:type="paragraph" w:styleId="Footer">
    <w:name w:val="footer"/>
    <w:basedOn w:val="Normal"/>
    <w:link w:val="FooterChar"/>
    <w:uiPriority w:val="99"/>
    <w:unhideWhenUsed/>
    <w:rsid w:val="00E927D3"/>
    <w:pPr>
      <w:tabs>
        <w:tab w:val="center" w:pos="4680"/>
        <w:tab w:val="right" w:pos="9360"/>
      </w:tabs>
    </w:pPr>
  </w:style>
  <w:style w:type="character" w:customStyle="1" w:styleId="FooterChar">
    <w:name w:val="Footer Char"/>
    <w:basedOn w:val="DefaultParagraphFont"/>
    <w:link w:val="Footer"/>
    <w:uiPriority w:val="99"/>
    <w:rsid w:val="00E927D3"/>
  </w:style>
  <w:style w:type="character" w:styleId="PageNumber">
    <w:name w:val="page number"/>
    <w:basedOn w:val="DefaultParagraphFont"/>
    <w:uiPriority w:val="99"/>
    <w:semiHidden/>
    <w:unhideWhenUsed/>
    <w:rsid w:val="00E927D3"/>
  </w:style>
  <w:style w:type="table" w:styleId="TableGrid">
    <w:name w:val="Table Grid"/>
    <w:basedOn w:val="TableNormal"/>
    <w:uiPriority w:val="39"/>
    <w:rsid w:val="00593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76E3"/>
    <w:rPr>
      <w:color w:val="0563C1" w:themeColor="hyperlink"/>
      <w:u w:val="single"/>
    </w:rPr>
  </w:style>
  <w:style w:type="character" w:styleId="Emphasis">
    <w:name w:val="Emphasis"/>
    <w:basedOn w:val="DefaultParagraphFont"/>
    <w:uiPriority w:val="20"/>
    <w:qFormat/>
    <w:rsid w:val="003639C4"/>
    <w:rPr>
      <w:i/>
      <w:iCs/>
    </w:rPr>
  </w:style>
  <w:style w:type="paragraph" w:styleId="BalloonText">
    <w:name w:val="Balloon Text"/>
    <w:basedOn w:val="Normal"/>
    <w:link w:val="BalloonTextChar"/>
    <w:uiPriority w:val="99"/>
    <w:semiHidden/>
    <w:unhideWhenUsed/>
    <w:rsid w:val="00CA73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732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A732A"/>
    <w:rPr>
      <w:sz w:val="18"/>
      <w:szCs w:val="18"/>
    </w:rPr>
  </w:style>
  <w:style w:type="paragraph" w:styleId="CommentText">
    <w:name w:val="annotation text"/>
    <w:basedOn w:val="Normal"/>
    <w:link w:val="CommentTextChar"/>
    <w:uiPriority w:val="99"/>
    <w:semiHidden/>
    <w:unhideWhenUsed/>
    <w:rsid w:val="00CA732A"/>
  </w:style>
  <w:style w:type="character" w:customStyle="1" w:styleId="CommentTextChar">
    <w:name w:val="Comment Text Char"/>
    <w:basedOn w:val="DefaultParagraphFont"/>
    <w:link w:val="CommentText"/>
    <w:uiPriority w:val="99"/>
    <w:semiHidden/>
    <w:rsid w:val="00CA732A"/>
  </w:style>
  <w:style w:type="paragraph" w:styleId="CommentSubject">
    <w:name w:val="annotation subject"/>
    <w:basedOn w:val="CommentText"/>
    <w:next w:val="CommentText"/>
    <w:link w:val="CommentSubjectChar"/>
    <w:uiPriority w:val="99"/>
    <w:semiHidden/>
    <w:unhideWhenUsed/>
    <w:rsid w:val="00CA732A"/>
    <w:rPr>
      <w:b/>
      <w:bCs/>
      <w:sz w:val="20"/>
      <w:szCs w:val="20"/>
    </w:rPr>
  </w:style>
  <w:style w:type="character" w:customStyle="1" w:styleId="CommentSubjectChar">
    <w:name w:val="Comment Subject Char"/>
    <w:basedOn w:val="CommentTextChar"/>
    <w:link w:val="CommentSubject"/>
    <w:uiPriority w:val="99"/>
    <w:semiHidden/>
    <w:rsid w:val="00CA7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1513">
      <w:bodyDiv w:val="1"/>
      <w:marLeft w:val="0"/>
      <w:marRight w:val="0"/>
      <w:marTop w:val="0"/>
      <w:marBottom w:val="0"/>
      <w:divBdr>
        <w:top w:val="none" w:sz="0" w:space="0" w:color="auto"/>
        <w:left w:val="none" w:sz="0" w:space="0" w:color="auto"/>
        <w:bottom w:val="none" w:sz="0" w:space="0" w:color="auto"/>
        <w:right w:val="none" w:sz="0" w:space="0" w:color="auto"/>
      </w:divBdr>
    </w:div>
    <w:div w:id="1180585530">
      <w:bodyDiv w:val="1"/>
      <w:marLeft w:val="0"/>
      <w:marRight w:val="0"/>
      <w:marTop w:val="0"/>
      <w:marBottom w:val="0"/>
      <w:divBdr>
        <w:top w:val="none" w:sz="0" w:space="0" w:color="auto"/>
        <w:left w:val="none" w:sz="0" w:space="0" w:color="auto"/>
        <w:bottom w:val="none" w:sz="0" w:space="0" w:color="auto"/>
        <w:right w:val="none" w:sz="0" w:space="0" w:color="auto"/>
      </w:divBdr>
    </w:div>
    <w:div w:id="1433629653">
      <w:bodyDiv w:val="1"/>
      <w:marLeft w:val="0"/>
      <w:marRight w:val="0"/>
      <w:marTop w:val="0"/>
      <w:marBottom w:val="0"/>
      <w:divBdr>
        <w:top w:val="none" w:sz="0" w:space="0" w:color="auto"/>
        <w:left w:val="none" w:sz="0" w:space="0" w:color="auto"/>
        <w:bottom w:val="none" w:sz="0" w:space="0" w:color="auto"/>
        <w:right w:val="none" w:sz="0" w:space="0" w:color="auto"/>
      </w:divBdr>
    </w:div>
    <w:div w:id="16838182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sf.gov/statistics/2016/nsb20161/"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jsu.edu/wac/" TargetMode="External"/><Relationship Id="rId9" Type="http://schemas.openxmlformats.org/officeDocument/2006/relationships/hyperlink" Target="http://www.sjsu.edu/wac/pages/seminars-and-workshops/workshops-f16/handouts-and-notes/cook/index.html" TargetMode="External"/><Relationship Id="rId10" Type="http://schemas.openxmlformats.org/officeDocument/2006/relationships/hyperlink" Target="http://kairos.technorhetoric.net/8.1/featurs/melzer/kairosfro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C92-B446-224C-A2E1-7BD2CF1A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10399</Words>
  <Characters>59279</Characters>
  <Application>Microsoft Macintosh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Hager</cp:lastModifiedBy>
  <cp:revision>2</cp:revision>
  <cp:lastPrinted>2017-05-03T23:05:00Z</cp:lastPrinted>
  <dcterms:created xsi:type="dcterms:W3CDTF">2017-06-30T21:10:00Z</dcterms:created>
  <dcterms:modified xsi:type="dcterms:W3CDTF">2017-06-30T21:10:00Z</dcterms:modified>
</cp:coreProperties>
</file>